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50113" w14:textId="62B4C9B2" w:rsidR="006214C5" w:rsidRPr="006D0151" w:rsidRDefault="0071480A" w:rsidP="006D0151">
      <w:pPr>
        <w:spacing w:after="0" w:line="240" w:lineRule="auto"/>
        <w:jc w:val="center"/>
        <w:rPr>
          <w:rFonts w:ascii="Arial" w:hAnsi="Arial" w:cs="Arial"/>
          <w:sz w:val="24"/>
          <w:szCs w:val="24"/>
          <w:u w:val="single"/>
        </w:rPr>
      </w:pPr>
      <w:bookmarkStart w:id="0" w:name="_GoBack"/>
      <w:bookmarkEnd w:id="0"/>
      <w:r w:rsidRPr="006D0151">
        <w:rPr>
          <w:rFonts w:ascii="Arial" w:hAnsi="Arial" w:cs="Arial"/>
          <w:sz w:val="24"/>
          <w:szCs w:val="24"/>
        </w:rPr>
        <w:t xml:space="preserve">Cash Management Common </w:t>
      </w:r>
      <w:r w:rsidR="006214C5" w:rsidRPr="006D0151">
        <w:rPr>
          <w:rFonts w:ascii="Arial" w:hAnsi="Arial" w:cs="Arial"/>
          <w:sz w:val="24"/>
          <w:szCs w:val="24"/>
        </w:rPr>
        <w:t>Questions &amp; Answers</w:t>
      </w:r>
    </w:p>
    <w:p w14:paraId="68636DA5" w14:textId="77777777" w:rsidR="00E65D9B" w:rsidRPr="006D0151" w:rsidRDefault="00E65D9B" w:rsidP="00FD61B6">
      <w:pPr>
        <w:spacing w:after="0" w:line="240" w:lineRule="auto"/>
        <w:rPr>
          <w:rFonts w:ascii="Arial" w:hAnsi="Arial" w:cs="Arial"/>
          <w:sz w:val="24"/>
          <w:szCs w:val="24"/>
          <w:u w:val="single"/>
        </w:rPr>
      </w:pPr>
    </w:p>
    <w:p w14:paraId="50B441BF" w14:textId="7F269537" w:rsidR="00E65D9B" w:rsidRPr="006D0151" w:rsidRDefault="00E65D9B" w:rsidP="00FD61B6">
      <w:pPr>
        <w:spacing w:after="0" w:line="240" w:lineRule="auto"/>
        <w:rPr>
          <w:rFonts w:ascii="Arial" w:hAnsi="Arial" w:cs="Arial"/>
          <w:b/>
          <w:sz w:val="24"/>
          <w:szCs w:val="24"/>
        </w:rPr>
      </w:pPr>
      <w:r w:rsidRPr="006D0151">
        <w:rPr>
          <w:rFonts w:ascii="Arial" w:hAnsi="Arial" w:cs="Arial"/>
          <w:b/>
          <w:sz w:val="24"/>
          <w:szCs w:val="24"/>
        </w:rPr>
        <w:t>General (GEN)</w:t>
      </w:r>
    </w:p>
    <w:p w14:paraId="044CB429" w14:textId="77777777" w:rsidR="00FD61B6" w:rsidRPr="006D0151" w:rsidRDefault="00FD61B6" w:rsidP="00FD61B6">
      <w:pPr>
        <w:spacing w:after="0" w:line="240" w:lineRule="auto"/>
        <w:rPr>
          <w:rFonts w:ascii="Arial" w:hAnsi="Arial" w:cs="Arial"/>
          <w:sz w:val="24"/>
          <w:szCs w:val="24"/>
        </w:rPr>
      </w:pPr>
    </w:p>
    <w:p w14:paraId="7915011F" w14:textId="57B5E9F1" w:rsidR="00C31F99" w:rsidRPr="006D0151" w:rsidRDefault="00E65D9B" w:rsidP="00FD61B6">
      <w:pPr>
        <w:spacing w:after="0" w:line="240" w:lineRule="auto"/>
        <w:rPr>
          <w:rFonts w:ascii="Arial" w:hAnsi="Arial" w:cs="Arial"/>
          <w:sz w:val="24"/>
          <w:szCs w:val="24"/>
          <w:u w:val="single"/>
        </w:rPr>
      </w:pPr>
      <w:r w:rsidRPr="006D0151">
        <w:rPr>
          <w:rFonts w:ascii="Arial" w:hAnsi="Arial" w:cs="Arial"/>
          <w:sz w:val="24"/>
          <w:szCs w:val="24"/>
          <w:u w:val="single"/>
        </w:rPr>
        <w:t>GEN Q</w:t>
      </w:r>
      <w:r w:rsidR="003943C0" w:rsidRPr="006D0151">
        <w:rPr>
          <w:rFonts w:ascii="Arial" w:hAnsi="Arial" w:cs="Arial"/>
          <w:sz w:val="24"/>
          <w:szCs w:val="24"/>
          <w:u w:val="single"/>
        </w:rPr>
        <w:t>1</w:t>
      </w:r>
      <w:r w:rsidRPr="006D0151">
        <w:rPr>
          <w:rFonts w:ascii="Arial" w:hAnsi="Arial" w:cs="Arial"/>
          <w:sz w:val="24"/>
          <w:szCs w:val="24"/>
          <w:u w:val="single"/>
        </w:rPr>
        <w:t xml:space="preserve">: </w:t>
      </w:r>
      <w:r w:rsidR="006D0151">
        <w:rPr>
          <w:rFonts w:ascii="Arial" w:hAnsi="Arial" w:cs="Arial"/>
          <w:sz w:val="24"/>
          <w:szCs w:val="24"/>
          <w:u w:val="single"/>
        </w:rPr>
        <w:t xml:space="preserve">Is </w:t>
      </w:r>
      <w:r w:rsidR="006D0151" w:rsidRPr="006D0151">
        <w:rPr>
          <w:rFonts w:ascii="Arial" w:hAnsi="Arial" w:cs="Arial"/>
          <w:sz w:val="24"/>
          <w:szCs w:val="24"/>
          <w:u w:val="single"/>
        </w:rPr>
        <w:t xml:space="preserve">the Department planning </w:t>
      </w:r>
      <w:r w:rsidR="006D0151">
        <w:rPr>
          <w:rFonts w:ascii="Arial" w:hAnsi="Arial" w:cs="Arial"/>
          <w:sz w:val="24"/>
          <w:szCs w:val="24"/>
          <w:u w:val="single"/>
        </w:rPr>
        <w:t xml:space="preserve">on </w:t>
      </w:r>
      <w:r w:rsidR="006D0151" w:rsidRPr="006D0151">
        <w:rPr>
          <w:rFonts w:ascii="Arial" w:hAnsi="Arial" w:cs="Arial"/>
          <w:sz w:val="24"/>
          <w:szCs w:val="24"/>
          <w:u w:val="single"/>
        </w:rPr>
        <w:t>disburs</w:t>
      </w:r>
      <w:r w:rsidR="006D0151">
        <w:rPr>
          <w:rFonts w:ascii="Arial" w:hAnsi="Arial" w:cs="Arial"/>
          <w:sz w:val="24"/>
          <w:szCs w:val="24"/>
          <w:u w:val="single"/>
        </w:rPr>
        <w:t>ing</w:t>
      </w:r>
      <w:r w:rsidR="006D0151" w:rsidRPr="006D0151">
        <w:rPr>
          <w:rFonts w:ascii="Arial" w:hAnsi="Arial" w:cs="Arial"/>
          <w:sz w:val="24"/>
          <w:szCs w:val="24"/>
          <w:u w:val="single"/>
        </w:rPr>
        <w:t xml:space="preserve"> </w:t>
      </w:r>
      <w:r w:rsidR="006D0151">
        <w:rPr>
          <w:rFonts w:ascii="Arial" w:hAnsi="Arial" w:cs="Arial"/>
          <w:sz w:val="24"/>
          <w:szCs w:val="24"/>
          <w:u w:val="single"/>
        </w:rPr>
        <w:t>Title</w:t>
      </w:r>
      <w:r w:rsidR="006D0151" w:rsidRPr="006D0151">
        <w:rPr>
          <w:rFonts w:ascii="Arial" w:hAnsi="Arial" w:cs="Arial"/>
          <w:sz w:val="24"/>
          <w:szCs w:val="24"/>
          <w:u w:val="single"/>
        </w:rPr>
        <w:t xml:space="preserve"> IV funds directly to students</w:t>
      </w:r>
      <w:r w:rsidR="006D0151">
        <w:rPr>
          <w:rFonts w:ascii="Arial" w:hAnsi="Arial" w:cs="Arial"/>
          <w:sz w:val="24"/>
          <w:szCs w:val="24"/>
          <w:u w:val="single"/>
        </w:rPr>
        <w:t xml:space="preserve"> and parents as is </w:t>
      </w:r>
      <w:r w:rsidR="00E66BCF">
        <w:rPr>
          <w:rFonts w:ascii="Arial" w:hAnsi="Arial" w:cs="Arial"/>
          <w:sz w:val="24"/>
          <w:szCs w:val="24"/>
          <w:u w:val="single"/>
        </w:rPr>
        <w:t>mentioned</w:t>
      </w:r>
      <w:r w:rsidR="006D0151">
        <w:rPr>
          <w:rFonts w:ascii="Arial" w:hAnsi="Arial" w:cs="Arial"/>
          <w:sz w:val="24"/>
          <w:szCs w:val="24"/>
          <w:u w:val="single"/>
        </w:rPr>
        <w:t xml:space="preserve"> in the cash management final regulations?</w:t>
      </w:r>
    </w:p>
    <w:p w14:paraId="5D3AD20F" w14:textId="77777777" w:rsidR="0013775A" w:rsidRPr="006D0151" w:rsidRDefault="0013775A" w:rsidP="00FD61B6">
      <w:pPr>
        <w:spacing w:after="0" w:line="240" w:lineRule="auto"/>
        <w:rPr>
          <w:rFonts w:ascii="Arial" w:hAnsi="Arial" w:cs="Arial"/>
          <w:sz w:val="24"/>
          <w:szCs w:val="24"/>
        </w:rPr>
      </w:pPr>
    </w:p>
    <w:p w14:paraId="6DE79260" w14:textId="17002AA9" w:rsidR="00313166" w:rsidRPr="006D0151" w:rsidRDefault="00E65D9B" w:rsidP="003943C0">
      <w:pPr>
        <w:spacing w:after="0" w:line="240" w:lineRule="auto"/>
        <w:rPr>
          <w:rFonts w:ascii="Arial" w:hAnsi="Arial" w:cs="Arial"/>
          <w:sz w:val="24"/>
          <w:szCs w:val="24"/>
        </w:rPr>
      </w:pPr>
      <w:r w:rsidRPr="006D0151">
        <w:rPr>
          <w:rFonts w:ascii="Arial" w:hAnsi="Arial" w:cs="Arial"/>
          <w:sz w:val="24"/>
          <w:szCs w:val="24"/>
        </w:rPr>
        <w:t>GEN A</w:t>
      </w:r>
      <w:r w:rsidR="003943C0" w:rsidRPr="006D0151">
        <w:rPr>
          <w:rFonts w:ascii="Arial" w:hAnsi="Arial" w:cs="Arial"/>
          <w:sz w:val="24"/>
          <w:szCs w:val="24"/>
        </w:rPr>
        <w:t>1</w:t>
      </w:r>
      <w:r w:rsidRPr="006D0151">
        <w:rPr>
          <w:rFonts w:ascii="Arial" w:hAnsi="Arial" w:cs="Arial"/>
          <w:sz w:val="24"/>
          <w:szCs w:val="24"/>
        </w:rPr>
        <w:t xml:space="preserve">: </w:t>
      </w:r>
      <w:r w:rsidR="00C31F99" w:rsidRPr="006D0151">
        <w:rPr>
          <w:rFonts w:ascii="Arial" w:hAnsi="Arial" w:cs="Arial"/>
          <w:sz w:val="24"/>
          <w:szCs w:val="24"/>
        </w:rPr>
        <w:t>Both the</w:t>
      </w:r>
      <w:r w:rsidR="008D4075" w:rsidRPr="006D0151">
        <w:rPr>
          <w:rFonts w:ascii="Arial" w:hAnsi="Arial" w:cs="Arial"/>
          <w:sz w:val="24"/>
          <w:szCs w:val="24"/>
        </w:rPr>
        <w:t xml:space="preserve"> proposed</w:t>
      </w:r>
      <w:r w:rsidR="00C31F99" w:rsidRPr="006D0151">
        <w:rPr>
          <w:rFonts w:ascii="Arial" w:hAnsi="Arial" w:cs="Arial"/>
          <w:sz w:val="24"/>
          <w:szCs w:val="24"/>
        </w:rPr>
        <w:t xml:space="preserve"> and </w:t>
      </w:r>
      <w:r w:rsidR="008D4075" w:rsidRPr="006D0151">
        <w:rPr>
          <w:rFonts w:ascii="Arial" w:hAnsi="Arial" w:cs="Arial"/>
          <w:sz w:val="24"/>
          <w:szCs w:val="24"/>
        </w:rPr>
        <w:t>f</w:t>
      </w:r>
      <w:r w:rsidR="00C31F99" w:rsidRPr="006D0151">
        <w:rPr>
          <w:rFonts w:ascii="Arial" w:hAnsi="Arial" w:cs="Arial"/>
          <w:sz w:val="24"/>
          <w:szCs w:val="24"/>
        </w:rPr>
        <w:t xml:space="preserve">inal </w:t>
      </w:r>
      <w:r w:rsidR="008D4075" w:rsidRPr="006D0151">
        <w:rPr>
          <w:rFonts w:ascii="Arial" w:hAnsi="Arial" w:cs="Arial"/>
          <w:sz w:val="24"/>
          <w:szCs w:val="24"/>
        </w:rPr>
        <w:t>r</w:t>
      </w:r>
      <w:r w:rsidR="00C31F99" w:rsidRPr="006D0151">
        <w:rPr>
          <w:rFonts w:ascii="Arial" w:hAnsi="Arial" w:cs="Arial"/>
          <w:sz w:val="24"/>
          <w:szCs w:val="24"/>
        </w:rPr>
        <w:t xml:space="preserve">egulations reflect the Secretary’s existing authority to make direct payments of </w:t>
      </w:r>
      <w:r w:rsidR="006D0151">
        <w:rPr>
          <w:rFonts w:ascii="Arial" w:hAnsi="Arial" w:cs="Arial"/>
          <w:sz w:val="24"/>
          <w:szCs w:val="24"/>
        </w:rPr>
        <w:t>Title</w:t>
      </w:r>
      <w:r w:rsidR="00C31F99" w:rsidRPr="006D0151">
        <w:rPr>
          <w:rFonts w:ascii="Arial" w:hAnsi="Arial" w:cs="Arial"/>
          <w:sz w:val="24"/>
          <w:szCs w:val="24"/>
        </w:rPr>
        <w:t xml:space="preserve"> IV funds to students. However, we do not currently have plans to implement such a direct disbursement system. We are examining the feasibility of making direct payments to students and will continue to evaluate whether doing so would ultimately be in the best interests of students and taxpayers.</w:t>
      </w:r>
      <w:r w:rsidR="006D0151">
        <w:rPr>
          <w:rFonts w:ascii="Arial" w:hAnsi="Arial" w:cs="Arial"/>
          <w:sz w:val="24"/>
          <w:szCs w:val="24"/>
        </w:rPr>
        <w:t xml:space="preserve"> </w:t>
      </w:r>
      <w:r w:rsidR="00F06A21" w:rsidRPr="00F06A21">
        <w:rPr>
          <w:rFonts w:ascii="Arial" w:hAnsi="Arial" w:cs="Arial"/>
          <w:sz w:val="24"/>
          <w:szCs w:val="24"/>
        </w:rPr>
        <w:t>[Guidance issued 5/</w:t>
      </w:r>
      <w:r w:rsidR="00DB1AEF">
        <w:rPr>
          <w:rFonts w:ascii="Arial" w:hAnsi="Arial" w:cs="Arial"/>
          <w:sz w:val="24"/>
          <w:szCs w:val="24"/>
        </w:rPr>
        <w:t>12</w:t>
      </w:r>
      <w:r w:rsidR="00F06A21" w:rsidRPr="00F06A21">
        <w:rPr>
          <w:rFonts w:ascii="Arial" w:hAnsi="Arial" w:cs="Arial"/>
          <w:sz w:val="24"/>
          <w:szCs w:val="24"/>
        </w:rPr>
        <w:t>/2016]</w:t>
      </w:r>
    </w:p>
    <w:p w14:paraId="122D93B3" w14:textId="77777777" w:rsidR="003943C0" w:rsidRPr="006D0151" w:rsidRDefault="003943C0" w:rsidP="003943C0">
      <w:pPr>
        <w:spacing w:after="0" w:line="240" w:lineRule="auto"/>
        <w:rPr>
          <w:rFonts w:ascii="Arial" w:hAnsi="Arial" w:cs="Arial"/>
          <w:sz w:val="24"/>
          <w:szCs w:val="24"/>
        </w:rPr>
      </w:pPr>
    </w:p>
    <w:p w14:paraId="4F0E9FFD" w14:textId="3F16F59E" w:rsidR="00994339" w:rsidRPr="006D0151" w:rsidRDefault="00994339" w:rsidP="00FD61B6">
      <w:pPr>
        <w:spacing w:after="0" w:line="240" w:lineRule="auto"/>
        <w:rPr>
          <w:rFonts w:ascii="Arial" w:hAnsi="Arial" w:cs="Arial"/>
          <w:b/>
          <w:sz w:val="24"/>
          <w:szCs w:val="24"/>
        </w:rPr>
      </w:pPr>
      <w:r w:rsidRPr="006D0151">
        <w:rPr>
          <w:rFonts w:ascii="Arial" w:hAnsi="Arial" w:cs="Arial"/>
          <w:b/>
          <w:sz w:val="24"/>
          <w:szCs w:val="24"/>
        </w:rPr>
        <w:t xml:space="preserve">Tier </w:t>
      </w:r>
      <w:r w:rsidR="009D06D3" w:rsidRPr="006D0151">
        <w:rPr>
          <w:rFonts w:ascii="Arial" w:hAnsi="Arial" w:cs="Arial"/>
          <w:b/>
          <w:sz w:val="24"/>
          <w:szCs w:val="24"/>
        </w:rPr>
        <w:t>One</w:t>
      </w:r>
      <w:r w:rsidRPr="006D0151">
        <w:rPr>
          <w:rFonts w:ascii="Arial" w:hAnsi="Arial" w:cs="Arial"/>
          <w:b/>
          <w:sz w:val="24"/>
          <w:szCs w:val="24"/>
        </w:rPr>
        <w:t xml:space="preserve"> and Tier </w:t>
      </w:r>
      <w:r w:rsidR="009D06D3" w:rsidRPr="006D0151">
        <w:rPr>
          <w:rFonts w:ascii="Arial" w:hAnsi="Arial" w:cs="Arial"/>
          <w:b/>
          <w:sz w:val="24"/>
          <w:szCs w:val="24"/>
        </w:rPr>
        <w:t>Two</w:t>
      </w:r>
      <w:r w:rsidRPr="006D0151">
        <w:rPr>
          <w:rFonts w:ascii="Arial" w:hAnsi="Arial" w:cs="Arial"/>
          <w:b/>
          <w:sz w:val="24"/>
          <w:szCs w:val="24"/>
        </w:rPr>
        <w:t xml:space="preserve"> Arrangements (TA)</w:t>
      </w:r>
    </w:p>
    <w:p w14:paraId="1BE9D984" w14:textId="77777777" w:rsidR="00994339" w:rsidRPr="006D0151" w:rsidRDefault="00994339" w:rsidP="00FD61B6">
      <w:pPr>
        <w:spacing w:after="0" w:line="240" w:lineRule="auto"/>
        <w:rPr>
          <w:rFonts w:ascii="Arial" w:hAnsi="Arial" w:cs="Arial"/>
          <w:sz w:val="24"/>
          <w:szCs w:val="24"/>
          <w:u w:val="single"/>
        </w:rPr>
      </w:pPr>
    </w:p>
    <w:p w14:paraId="79150126" w14:textId="200D9525" w:rsidR="006214C5" w:rsidRPr="006D0151" w:rsidRDefault="00717454" w:rsidP="00FD61B6">
      <w:pPr>
        <w:autoSpaceDE w:val="0"/>
        <w:autoSpaceDN w:val="0"/>
        <w:adjustRightInd w:val="0"/>
        <w:spacing w:after="0" w:line="240" w:lineRule="auto"/>
        <w:rPr>
          <w:rFonts w:ascii="Arial" w:hAnsi="Arial" w:cs="Arial"/>
          <w:sz w:val="24"/>
          <w:szCs w:val="24"/>
          <w:u w:val="single"/>
        </w:rPr>
      </w:pPr>
      <w:r w:rsidRPr="006D0151">
        <w:rPr>
          <w:rFonts w:ascii="Arial" w:hAnsi="Arial" w:cs="Arial"/>
          <w:sz w:val="24"/>
          <w:szCs w:val="24"/>
          <w:u w:val="single"/>
        </w:rPr>
        <w:t>TA Q</w:t>
      </w:r>
      <w:r w:rsidR="0071480A" w:rsidRPr="006D0151">
        <w:rPr>
          <w:rFonts w:ascii="Arial" w:hAnsi="Arial" w:cs="Arial"/>
          <w:sz w:val="24"/>
          <w:szCs w:val="24"/>
          <w:u w:val="single"/>
        </w:rPr>
        <w:t>1</w:t>
      </w:r>
      <w:r w:rsidRPr="006D0151">
        <w:rPr>
          <w:rFonts w:ascii="Arial" w:hAnsi="Arial" w:cs="Arial"/>
          <w:sz w:val="24"/>
          <w:szCs w:val="24"/>
          <w:u w:val="single"/>
        </w:rPr>
        <w:t xml:space="preserve">: </w:t>
      </w:r>
      <w:r w:rsidR="002B314D">
        <w:rPr>
          <w:rFonts w:ascii="Arial" w:hAnsi="Arial" w:cs="Arial"/>
          <w:sz w:val="24"/>
          <w:szCs w:val="24"/>
          <w:u w:val="single"/>
        </w:rPr>
        <w:t>What is a Tier O</w:t>
      </w:r>
      <w:r w:rsidR="006214C5" w:rsidRPr="006D0151">
        <w:rPr>
          <w:rFonts w:ascii="Arial" w:hAnsi="Arial" w:cs="Arial"/>
          <w:sz w:val="24"/>
          <w:szCs w:val="24"/>
          <w:u w:val="single"/>
        </w:rPr>
        <w:t>ne (T1) arrangement?</w:t>
      </w:r>
    </w:p>
    <w:p w14:paraId="6E891045" w14:textId="77777777" w:rsidR="0013775A" w:rsidRPr="006D0151" w:rsidRDefault="0013775A" w:rsidP="00FD61B6">
      <w:pPr>
        <w:autoSpaceDE w:val="0"/>
        <w:autoSpaceDN w:val="0"/>
        <w:adjustRightInd w:val="0"/>
        <w:spacing w:after="0" w:line="240" w:lineRule="auto"/>
        <w:rPr>
          <w:rFonts w:ascii="Arial" w:hAnsi="Arial" w:cs="Arial"/>
          <w:sz w:val="24"/>
          <w:szCs w:val="24"/>
          <w:u w:val="single"/>
        </w:rPr>
      </w:pPr>
    </w:p>
    <w:p w14:paraId="6E8A590E" w14:textId="7510CADF" w:rsidR="00D067AD" w:rsidRPr="00F06A21" w:rsidRDefault="00717454" w:rsidP="00FD61B6">
      <w:pPr>
        <w:autoSpaceDE w:val="0"/>
        <w:autoSpaceDN w:val="0"/>
        <w:adjustRightInd w:val="0"/>
        <w:spacing w:after="0" w:line="240" w:lineRule="auto"/>
        <w:rPr>
          <w:rFonts w:ascii="Times New Roman" w:hAnsi="Times New Roman" w:cs="Times New Roman"/>
          <w:sz w:val="24"/>
          <w:szCs w:val="24"/>
        </w:rPr>
      </w:pPr>
      <w:r w:rsidRPr="006D0151">
        <w:rPr>
          <w:rFonts w:ascii="Arial" w:hAnsi="Arial" w:cs="Arial"/>
          <w:sz w:val="24"/>
          <w:szCs w:val="24"/>
        </w:rPr>
        <w:t>TA A</w:t>
      </w:r>
      <w:r w:rsidR="0071480A" w:rsidRPr="006D0151">
        <w:rPr>
          <w:rFonts w:ascii="Arial" w:hAnsi="Arial" w:cs="Arial"/>
          <w:sz w:val="24"/>
          <w:szCs w:val="24"/>
        </w:rPr>
        <w:t>1</w:t>
      </w:r>
      <w:r w:rsidRPr="006D0151">
        <w:rPr>
          <w:rFonts w:ascii="Arial" w:hAnsi="Arial" w:cs="Arial"/>
          <w:sz w:val="24"/>
          <w:szCs w:val="24"/>
        </w:rPr>
        <w:t xml:space="preserve">: </w:t>
      </w:r>
      <w:r w:rsidR="00675C56" w:rsidRPr="00675C56">
        <w:rPr>
          <w:rFonts w:ascii="Arial" w:hAnsi="Arial" w:cs="Arial"/>
          <w:sz w:val="24"/>
          <w:szCs w:val="24"/>
        </w:rPr>
        <w:t xml:space="preserve">In a T1 arrangement, a third-party servicer contracts with an institution located in a State to perform one or more of the functions associated with processing direct payments of </w:t>
      </w:r>
      <w:r w:rsidR="00AE555E">
        <w:rPr>
          <w:rFonts w:ascii="Arial" w:hAnsi="Arial" w:cs="Arial"/>
          <w:sz w:val="24"/>
          <w:szCs w:val="24"/>
        </w:rPr>
        <w:t>T</w:t>
      </w:r>
      <w:r w:rsidR="00675C56" w:rsidRPr="00675C56">
        <w:rPr>
          <w:rFonts w:ascii="Arial" w:hAnsi="Arial" w:cs="Arial"/>
          <w:sz w:val="24"/>
          <w:szCs w:val="24"/>
        </w:rPr>
        <w:t>itle IV funds; and the institution or third-party servicer makes payments to one or more financial accounts that are offered to students under the contract, or about which information is communicated directly to students by one of three entities: (1) the third-part</w:t>
      </w:r>
      <w:r w:rsidR="00CE660C">
        <w:rPr>
          <w:rFonts w:ascii="Arial" w:hAnsi="Arial" w:cs="Arial"/>
          <w:sz w:val="24"/>
          <w:szCs w:val="24"/>
        </w:rPr>
        <w:t>y</w:t>
      </w:r>
      <w:r w:rsidR="00675C56" w:rsidRPr="00675C56">
        <w:rPr>
          <w:rFonts w:ascii="Arial" w:hAnsi="Arial" w:cs="Arial"/>
          <w:sz w:val="24"/>
          <w:szCs w:val="24"/>
        </w:rPr>
        <w:t xml:space="preserve"> servicer, (2) the institution on behalf of or in conjunction with the third-party servicer, or (3) an entity contracting with or affiliated with the servicer.</w:t>
      </w:r>
      <w:r w:rsidR="00F06A21">
        <w:rPr>
          <w:rFonts w:ascii="Times New Roman" w:hAnsi="Times New Roman" w:cs="Times New Roman"/>
          <w:sz w:val="24"/>
          <w:szCs w:val="24"/>
        </w:rPr>
        <w:t xml:space="preserve"> </w:t>
      </w:r>
      <w:r w:rsidR="00F06A21" w:rsidRPr="00F06A21">
        <w:rPr>
          <w:rFonts w:ascii="Arial" w:hAnsi="Arial" w:cs="Arial"/>
          <w:sz w:val="24"/>
          <w:szCs w:val="24"/>
        </w:rPr>
        <w:t>[Guidance issued 5/11/2016]</w:t>
      </w:r>
    </w:p>
    <w:p w14:paraId="1E4228C7" w14:textId="77777777" w:rsidR="00F06A21" w:rsidRDefault="00F06A21" w:rsidP="00FD61B6">
      <w:pPr>
        <w:autoSpaceDE w:val="0"/>
        <w:autoSpaceDN w:val="0"/>
        <w:adjustRightInd w:val="0"/>
        <w:spacing w:after="0" w:line="240" w:lineRule="auto"/>
        <w:rPr>
          <w:rFonts w:ascii="Arial" w:hAnsi="Arial" w:cs="Arial"/>
          <w:sz w:val="24"/>
          <w:szCs w:val="24"/>
        </w:rPr>
      </w:pPr>
    </w:p>
    <w:p w14:paraId="79150128" w14:textId="64F73828" w:rsidR="006214C5" w:rsidRPr="006D0151" w:rsidRDefault="00717454" w:rsidP="00FD61B6">
      <w:pPr>
        <w:autoSpaceDE w:val="0"/>
        <w:autoSpaceDN w:val="0"/>
        <w:adjustRightInd w:val="0"/>
        <w:spacing w:after="0" w:line="240" w:lineRule="auto"/>
        <w:rPr>
          <w:rFonts w:ascii="Arial" w:hAnsi="Arial" w:cs="Arial"/>
          <w:sz w:val="24"/>
          <w:szCs w:val="24"/>
          <w:u w:val="single"/>
        </w:rPr>
      </w:pPr>
      <w:r w:rsidRPr="006D0151">
        <w:rPr>
          <w:rFonts w:ascii="Arial" w:hAnsi="Arial" w:cs="Arial"/>
          <w:sz w:val="24"/>
          <w:szCs w:val="24"/>
          <w:u w:val="single"/>
        </w:rPr>
        <w:t>TA Q</w:t>
      </w:r>
      <w:r w:rsidR="0071480A" w:rsidRPr="006D0151">
        <w:rPr>
          <w:rFonts w:ascii="Arial" w:hAnsi="Arial" w:cs="Arial"/>
          <w:sz w:val="24"/>
          <w:szCs w:val="24"/>
          <w:u w:val="single"/>
        </w:rPr>
        <w:t>2</w:t>
      </w:r>
      <w:r w:rsidRPr="006D0151">
        <w:rPr>
          <w:rFonts w:ascii="Arial" w:hAnsi="Arial" w:cs="Arial"/>
          <w:sz w:val="24"/>
          <w:szCs w:val="24"/>
          <w:u w:val="single"/>
        </w:rPr>
        <w:t xml:space="preserve">: </w:t>
      </w:r>
      <w:r w:rsidR="006214C5" w:rsidRPr="006D0151">
        <w:rPr>
          <w:rFonts w:ascii="Arial" w:hAnsi="Arial" w:cs="Arial"/>
          <w:sz w:val="24"/>
          <w:szCs w:val="24"/>
          <w:u w:val="single"/>
        </w:rPr>
        <w:t xml:space="preserve">What is a </w:t>
      </w:r>
      <w:r w:rsidR="00407248">
        <w:rPr>
          <w:rFonts w:ascii="Arial" w:hAnsi="Arial" w:cs="Arial"/>
          <w:sz w:val="24"/>
          <w:szCs w:val="24"/>
          <w:u w:val="single"/>
        </w:rPr>
        <w:t>T</w:t>
      </w:r>
      <w:r w:rsidR="006214C5" w:rsidRPr="006D0151">
        <w:rPr>
          <w:rFonts w:ascii="Arial" w:hAnsi="Arial" w:cs="Arial"/>
          <w:sz w:val="24"/>
          <w:szCs w:val="24"/>
          <w:u w:val="single"/>
        </w:rPr>
        <w:t xml:space="preserve">ier </w:t>
      </w:r>
      <w:r w:rsidR="00407248">
        <w:rPr>
          <w:rFonts w:ascii="Arial" w:hAnsi="Arial" w:cs="Arial"/>
          <w:sz w:val="24"/>
          <w:szCs w:val="24"/>
          <w:u w:val="single"/>
        </w:rPr>
        <w:t>T</w:t>
      </w:r>
      <w:r w:rsidR="006214C5" w:rsidRPr="006D0151">
        <w:rPr>
          <w:rFonts w:ascii="Arial" w:hAnsi="Arial" w:cs="Arial"/>
          <w:sz w:val="24"/>
          <w:szCs w:val="24"/>
          <w:u w:val="single"/>
        </w:rPr>
        <w:t>wo (T2) arrangement?</w:t>
      </w:r>
    </w:p>
    <w:p w14:paraId="1B4213B7" w14:textId="77777777" w:rsidR="0013775A" w:rsidRPr="006D0151" w:rsidRDefault="0013775A" w:rsidP="00FD61B6">
      <w:pPr>
        <w:autoSpaceDE w:val="0"/>
        <w:autoSpaceDN w:val="0"/>
        <w:adjustRightInd w:val="0"/>
        <w:spacing w:after="0" w:line="240" w:lineRule="auto"/>
        <w:rPr>
          <w:rFonts w:ascii="Arial" w:hAnsi="Arial" w:cs="Arial"/>
          <w:sz w:val="24"/>
          <w:szCs w:val="24"/>
          <w:u w:val="single"/>
        </w:rPr>
      </w:pPr>
    </w:p>
    <w:p w14:paraId="6FB2178C" w14:textId="164FC0CB" w:rsidR="00A73921" w:rsidRPr="006D0151" w:rsidRDefault="00717454" w:rsidP="00FD61B6">
      <w:pPr>
        <w:autoSpaceDE w:val="0"/>
        <w:autoSpaceDN w:val="0"/>
        <w:adjustRightInd w:val="0"/>
        <w:spacing w:after="0" w:line="240" w:lineRule="auto"/>
        <w:rPr>
          <w:rFonts w:ascii="Arial" w:hAnsi="Arial" w:cs="Arial"/>
          <w:sz w:val="24"/>
          <w:szCs w:val="24"/>
        </w:rPr>
      </w:pPr>
      <w:r w:rsidRPr="006D0151">
        <w:rPr>
          <w:rFonts w:ascii="Arial" w:hAnsi="Arial" w:cs="Arial"/>
          <w:sz w:val="24"/>
          <w:szCs w:val="24"/>
        </w:rPr>
        <w:t>TA A</w:t>
      </w:r>
      <w:r w:rsidR="0071480A" w:rsidRPr="006D0151">
        <w:rPr>
          <w:rFonts w:ascii="Arial" w:hAnsi="Arial" w:cs="Arial"/>
          <w:sz w:val="24"/>
          <w:szCs w:val="24"/>
        </w:rPr>
        <w:t>2</w:t>
      </w:r>
      <w:r w:rsidRPr="006D0151">
        <w:rPr>
          <w:rFonts w:ascii="Arial" w:hAnsi="Arial" w:cs="Arial"/>
          <w:sz w:val="24"/>
          <w:szCs w:val="24"/>
        </w:rPr>
        <w:t xml:space="preserve">: </w:t>
      </w:r>
      <w:r w:rsidR="00D66054" w:rsidRPr="006D0151">
        <w:rPr>
          <w:rFonts w:ascii="Arial" w:hAnsi="Arial" w:cs="Arial"/>
          <w:sz w:val="24"/>
          <w:szCs w:val="24"/>
        </w:rPr>
        <w:t>In a</w:t>
      </w:r>
      <w:r w:rsidR="006214C5" w:rsidRPr="006D0151">
        <w:rPr>
          <w:rFonts w:ascii="Arial" w:hAnsi="Arial" w:cs="Arial"/>
          <w:sz w:val="24"/>
          <w:szCs w:val="24"/>
        </w:rPr>
        <w:t xml:space="preserve"> T2 arrangement</w:t>
      </w:r>
      <w:r w:rsidR="00D66054" w:rsidRPr="006D0151">
        <w:rPr>
          <w:rFonts w:ascii="Arial" w:hAnsi="Arial" w:cs="Arial"/>
          <w:sz w:val="24"/>
          <w:szCs w:val="24"/>
        </w:rPr>
        <w:t>,</w:t>
      </w:r>
      <w:r w:rsidR="0071480A" w:rsidRPr="006D0151">
        <w:rPr>
          <w:rFonts w:ascii="Arial" w:hAnsi="Arial" w:cs="Arial"/>
          <w:sz w:val="24"/>
          <w:szCs w:val="24"/>
        </w:rPr>
        <w:t xml:space="preserve"> an </w:t>
      </w:r>
      <w:r w:rsidR="006214C5" w:rsidRPr="006D0151">
        <w:rPr>
          <w:rFonts w:ascii="Arial" w:hAnsi="Arial" w:cs="Arial"/>
          <w:sz w:val="24"/>
          <w:szCs w:val="24"/>
        </w:rPr>
        <w:t xml:space="preserve">institution </w:t>
      </w:r>
      <w:r w:rsidR="0071480A" w:rsidRPr="006D0151">
        <w:rPr>
          <w:rFonts w:ascii="Arial" w:hAnsi="Arial" w:cs="Arial"/>
          <w:sz w:val="24"/>
          <w:szCs w:val="24"/>
        </w:rPr>
        <w:t xml:space="preserve">located in a State </w:t>
      </w:r>
      <w:r w:rsidR="00D66054" w:rsidRPr="006D0151">
        <w:rPr>
          <w:rFonts w:ascii="Arial" w:hAnsi="Arial" w:cs="Arial"/>
          <w:sz w:val="24"/>
          <w:szCs w:val="24"/>
        </w:rPr>
        <w:t xml:space="preserve">contracts with </w:t>
      </w:r>
      <w:r w:rsidR="006214C5" w:rsidRPr="006D0151">
        <w:rPr>
          <w:rFonts w:ascii="Arial" w:hAnsi="Arial" w:cs="Arial"/>
          <w:sz w:val="24"/>
          <w:szCs w:val="24"/>
        </w:rPr>
        <w:t xml:space="preserve">a financial institution or </w:t>
      </w:r>
      <w:r w:rsidR="00407248">
        <w:rPr>
          <w:rFonts w:ascii="Arial" w:hAnsi="Arial" w:cs="Arial"/>
          <w:sz w:val="24"/>
          <w:szCs w:val="24"/>
        </w:rPr>
        <w:t xml:space="preserve">other </w:t>
      </w:r>
      <w:r w:rsidR="006214C5" w:rsidRPr="006D0151">
        <w:rPr>
          <w:rFonts w:ascii="Arial" w:hAnsi="Arial" w:cs="Arial"/>
          <w:sz w:val="24"/>
          <w:szCs w:val="24"/>
        </w:rPr>
        <w:t xml:space="preserve">entity that offers financial accounts through a financial institution, </w:t>
      </w:r>
      <w:r w:rsidR="009D5414" w:rsidRPr="006D0151">
        <w:rPr>
          <w:rFonts w:ascii="Arial" w:hAnsi="Arial" w:cs="Arial"/>
          <w:sz w:val="24"/>
          <w:szCs w:val="24"/>
        </w:rPr>
        <w:t xml:space="preserve">and, </w:t>
      </w:r>
      <w:r w:rsidR="006214C5" w:rsidRPr="006D0151">
        <w:rPr>
          <w:rFonts w:ascii="Arial" w:hAnsi="Arial" w:cs="Arial"/>
          <w:sz w:val="24"/>
          <w:szCs w:val="24"/>
        </w:rPr>
        <w:t>under</w:t>
      </w:r>
      <w:r w:rsidR="009D5414" w:rsidRPr="006D0151">
        <w:rPr>
          <w:rFonts w:ascii="Arial" w:hAnsi="Arial" w:cs="Arial"/>
          <w:sz w:val="24"/>
          <w:szCs w:val="24"/>
        </w:rPr>
        <w:t xml:space="preserve"> the contract,</w:t>
      </w:r>
      <w:r w:rsidR="006214C5" w:rsidRPr="006D0151">
        <w:rPr>
          <w:rFonts w:ascii="Arial" w:hAnsi="Arial" w:cs="Arial"/>
          <w:sz w:val="24"/>
          <w:szCs w:val="24"/>
        </w:rPr>
        <w:t xml:space="preserve"> financial accounts are offered and marketed directly to students</w:t>
      </w:r>
      <w:r w:rsidR="00B76864" w:rsidRPr="006D0151">
        <w:rPr>
          <w:rFonts w:ascii="Arial" w:hAnsi="Arial" w:cs="Arial"/>
          <w:sz w:val="24"/>
          <w:szCs w:val="24"/>
        </w:rPr>
        <w:t xml:space="preserve"> enrolled at the institution</w:t>
      </w:r>
      <w:r w:rsidR="006214C5" w:rsidRPr="006D0151">
        <w:rPr>
          <w:rFonts w:ascii="Arial" w:hAnsi="Arial" w:cs="Arial"/>
          <w:sz w:val="24"/>
          <w:szCs w:val="24"/>
        </w:rPr>
        <w:t>.</w:t>
      </w:r>
      <w:r w:rsidR="00D66054" w:rsidRPr="006D0151">
        <w:rPr>
          <w:rFonts w:ascii="Arial" w:hAnsi="Arial" w:cs="Arial"/>
          <w:sz w:val="24"/>
          <w:szCs w:val="24"/>
        </w:rPr>
        <w:t xml:space="preserve">  The </w:t>
      </w:r>
      <w:r w:rsidR="00B76864" w:rsidRPr="006D0151">
        <w:rPr>
          <w:rFonts w:ascii="Arial" w:hAnsi="Arial" w:cs="Arial"/>
          <w:sz w:val="24"/>
          <w:szCs w:val="24"/>
        </w:rPr>
        <w:t xml:space="preserve">Department considers </w:t>
      </w:r>
      <w:r w:rsidR="00D66054" w:rsidRPr="006D0151">
        <w:rPr>
          <w:rFonts w:ascii="Arial" w:hAnsi="Arial" w:cs="Arial"/>
          <w:sz w:val="24"/>
          <w:szCs w:val="24"/>
        </w:rPr>
        <w:t>financial account</w:t>
      </w:r>
      <w:r w:rsidR="009D5414" w:rsidRPr="006D0151">
        <w:rPr>
          <w:rFonts w:ascii="Arial" w:hAnsi="Arial" w:cs="Arial"/>
          <w:sz w:val="24"/>
          <w:szCs w:val="24"/>
        </w:rPr>
        <w:t>s</w:t>
      </w:r>
      <w:r w:rsidR="00D66054" w:rsidRPr="006D0151">
        <w:rPr>
          <w:rFonts w:ascii="Arial" w:hAnsi="Arial" w:cs="Arial"/>
          <w:sz w:val="24"/>
          <w:szCs w:val="24"/>
        </w:rPr>
        <w:t xml:space="preserve"> to be directly marketed if</w:t>
      </w:r>
      <w:r w:rsidR="00A73921" w:rsidRPr="006D0151">
        <w:rPr>
          <w:rFonts w:ascii="Arial" w:hAnsi="Arial" w:cs="Arial"/>
          <w:sz w:val="24"/>
          <w:szCs w:val="24"/>
        </w:rPr>
        <w:t>:</w:t>
      </w:r>
    </w:p>
    <w:p w14:paraId="3AF3A113" w14:textId="77700DBA" w:rsidR="00A73921" w:rsidRPr="006D0151" w:rsidRDefault="00A73921" w:rsidP="00A73921">
      <w:pPr>
        <w:pStyle w:val="ListParagraph"/>
        <w:numPr>
          <w:ilvl w:val="0"/>
          <w:numId w:val="4"/>
        </w:numPr>
        <w:autoSpaceDE w:val="0"/>
        <w:autoSpaceDN w:val="0"/>
        <w:adjustRightInd w:val="0"/>
        <w:spacing w:after="0" w:line="240" w:lineRule="auto"/>
        <w:rPr>
          <w:rFonts w:ascii="Arial" w:hAnsi="Arial" w:cs="Arial"/>
          <w:sz w:val="24"/>
          <w:szCs w:val="24"/>
        </w:rPr>
      </w:pPr>
      <w:r w:rsidRPr="006D0151">
        <w:rPr>
          <w:rFonts w:ascii="Arial" w:hAnsi="Arial" w:cs="Arial"/>
          <w:sz w:val="24"/>
          <w:szCs w:val="24"/>
        </w:rPr>
        <w:t>T</w:t>
      </w:r>
      <w:r w:rsidR="00D66054" w:rsidRPr="006D0151">
        <w:rPr>
          <w:rFonts w:ascii="Arial" w:hAnsi="Arial" w:cs="Arial"/>
          <w:sz w:val="24"/>
          <w:szCs w:val="24"/>
        </w:rPr>
        <w:t xml:space="preserve">he institution communicates information directly to its </w:t>
      </w:r>
      <w:r w:rsidR="009A66A5" w:rsidRPr="006D0151">
        <w:rPr>
          <w:rFonts w:ascii="Arial" w:hAnsi="Arial" w:cs="Arial"/>
          <w:sz w:val="24"/>
          <w:szCs w:val="24"/>
        </w:rPr>
        <w:t>students</w:t>
      </w:r>
      <w:r w:rsidR="00D66054" w:rsidRPr="006D0151">
        <w:rPr>
          <w:rFonts w:ascii="Arial" w:hAnsi="Arial" w:cs="Arial"/>
          <w:sz w:val="24"/>
          <w:szCs w:val="24"/>
        </w:rPr>
        <w:t xml:space="preserve"> about the financial account and how it </w:t>
      </w:r>
      <w:r w:rsidR="001B5112" w:rsidRPr="006D0151">
        <w:rPr>
          <w:rFonts w:ascii="Arial" w:hAnsi="Arial" w:cs="Arial"/>
          <w:sz w:val="24"/>
          <w:szCs w:val="24"/>
        </w:rPr>
        <w:t>may be opened</w:t>
      </w:r>
      <w:r w:rsidRPr="006D0151">
        <w:rPr>
          <w:rFonts w:ascii="Arial" w:hAnsi="Arial" w:cs="Arial"/>
          <w:sz w:val="24"/>
          <w:szCs w:val="24"/>
        </w:rPr>
        <w:t>;</w:t>
      </w:r>
      <w:r w:rsidR="00D66054" w:rsidRPr="006D0151">
        <w:rPr>
          <w:rFonts w:ascii="Arial" w:hAnsi="Arial" w:cs="Arial"/>
          <w:sz w:val="24"/>
          <w:szCs w:val="24"/>
        </w:rPr>
        <w:t xml:space="preserve"> </w:t>
      </w:r>
    </w:p>
    <w:p w14:paraId="0ABFDA14" w14:textId="59767C55" w:rsidR="00A73921" w:rsidRPr="006D0151" w:rsidRDefault="00A73921" w:rsidP="00A73921">
      <w:pPr>
        <w:pStyle w:val="ListParagraph"/>
        <w:numPr>
          <w:ilvl w:val="0"/>
          <w:numId w:val="4"/>
        </w:numPr>
        <w:autoSpaceDE w:val="0"/>
        <w:autoSpaceDN w:val="0"/>
        <w:adjustRightInd w:val="0"/>
        <w:spacing w:after="0" w:line="240" w:lineRule="auto"/>
        <w:rPr>
          <w:rFonts w:ascii="Arial" w:hAnsi="Arial" w:cs="Arial"/>
          <w:sz w:val="24"/>
          <w:szCs w:val="24"/>
        </w:rPr>
      </w:pPr>
      <w:r w:rsidRPr="006D0151">
        <w:rPr>
          <w:rFonts w:ascii="Arial" w:hAnsi="Arial" w:cs="Arial"/>
          <w:sz w:val="24"/>
          <w:szCs w:val="24"/>
        </w:rPr>
        <w:t>T</w:t>
      </w:r>
      <w:r w:rsidR="00D66054" w:rsidRPr="006D0151">
        <w:rPr>
          <w:rFonts w:ascii="Arial" w:hAnsi="Arial" w:cs="Arial"/>
          <w:sz w:val="24"/>
          <w:szCs w:val="24"/>
        </w:rPr>
        <w:t>he financial account or access device is cobranded with the institution’s name, logo, mascot, or other affiliation and is marketed principally</w:t>
      </w:r>
      <w:r w:rsidRPr="006D0151">
        <w:rPr>
          <w:rFonts w:ascii="Arial" w:hAnsi="Arial" w:cs="Arial"/>
          <w:sz w:val="24"/>
          <w:szCs w:val="24"/>
        </w:rPr>
        <w:t xml:space="preserve"> to students at the institution; or</w:t>
      </w:r>
      <w:r w:rsidR="00D66054" w:rsidRPr="006D0151">
        <w:rPr>
          <w:rFonts w:ascii="Arial" w:hAnsi="Arial" w:cs="Arial"/>
          <w:sz w:val="24"/>
          <w:szCs w:val="24"/>
        </w:rPr>
        <w:t xml:space="preserve"> </w:t>
      </w:r>
    </w:p>
    <w:p w14:paraId="3C925B69" w14:textId="20F42576" w:rsidR="00F06A21" w:rsidRPr="00CB125C" w:rsidRDefault="00A73921" w:rsidP="00F06A21">
      <w:pPr>
        <w:pStyle w:val="ListParagraph"/>
        <w:numPr>
          <w:ilvl w:val="0"/>
          <w:numId w:val="4"/>
        </w:numPr>
        <w:autoSpaceDE w:val="0"/>
        <w:autoSpaceDN w:val="0"/>
        <w:adjustRightInd w:val="0"/>
        <w:spacing w:after="0" w:line="240" w:lineRule="auto"/>
        <w:rPr>
          <w:rFonts w:ascii="Arial" w:hAnsi="Arial" w:cs="Arial"/>
          <w:sz w:val="24"/>
          <w:szCs w:val="24"/>
          <w:u w:val="single"/>
        </w:rPr>
      </w:pPr>
      <w:r w:rsidRPr="00C2688F">
        <w:rPr>
          <w:rFonts w:ascii="Arial" w:hAnsi="Arial" w:cs="Arial"/>
          <w:sz w:val="24"/>
          <w:szCs w:val="24"/>
        </w:rPr>
        <w:t>A</w:t>
      </w:r>
      <w:r w:rsidR="00774284" w:rsidRPr="00C2688F">
        <w:rPr>
          <w:rFonts w:ascii="Arial" w:hAnsi="Arial" w:cs="Arial"/>
          <w:sz w:val="24"/>
          <w:szCs w:val="24"/>
        </w:rPr>
        <w:t xml:space="preserve"> </w:t>
      </w:r>
      <w:r w:rsidR="00D66054" w:rsidRPr="00C2688F">
        <w:rPr>
          <w:rFonts w:ascii="Arial" w:hAnsi="Arial" w:cs="Arial"/>
          <w:sz w:val="24"/>
          <w:szCs w:val="24"/>
        </w:rPr>
        <w:t>card or tool provided to the student for institutional purposes, such as a student ID card, is validated, enabling the student to use the device to access a financial account.</w:t>
      </w:r>
      <w:r w:rsidR="006214C5" w:rsidRPr="00C2688F">
        <w:rPr>
          <w:rFonts w:ascii="Arial" w:hAnsi="Arial" w:cs="Arial"/>
          <w:sz w:val="24"/>
          <w:szCs w:val="24"/>
        </w:rPr>
        <w:t xml:space="preserve"> </w:t>
      </w:r>
      <w:r w:rsidR="00CB125C">
        <w:rPr>
          <w:rFonts w:ascii="Arial" w:hAnsi="Arial" w:cs="Arial"/>
          <w:sz w:val="24"/>
          <w:szCs w:val="24"/>
        </w:rPr>
        <w:t xml:space="preserve"> </w:t>
      </w:r>
      <w:r w:rsidR="00F06A21" w:rsidRPr="00CB125C">
        <w:rPr>
          <w:rFonts w:ascii="Arial" w:hAnsi="Arial" w:cs="Arial"/>
          <w:sz w:val="24"/>
          <w:szCs w:val="24"/>
        </w:rPr>
        <w:t>[Guidance issued 5/</w:t>
      </w:r>
      <w:r w:rsidR="00DB1AEF">
        <w:rPr>
          <w:rFonts w:ascii="Arial" w:hAnsi="Arial" w:cs="Arial"/>
          <w:sz w:val="24"/>
          <w:szCs w:val="24"/>
        </w:rPr>
        <w:t>12</w:t>
      </w:r>
      <w:r w:rsidR="00F06A21" w:rsidRPr="00CB125C">
        <w:rPr>
          <w:rFonts w:ascii="Arial" w:hAnsi="Arial" w:cs="Arial"/>
          <w:sz w:val="24"/>
          <w:szCs w:val="24"/>
        </w:rPr>
        <w:t>/2016]</w:t>
      </w:r>
    </w:p>
    <w:p w14:paraId="4AE800B7" w14:textId="77777777" w:rsidR="00C2688F" w:rsidRPr="00C2688F" w:rsidRDefault="00C2688F" w:rsidP="00C2688F">
      <w:pPr>
        <w:pStyle w:val="ListParagraph"/>
        <w:autoSpaceDE w:val="0"/>
        <w:autoSpaceDN w:val="0"/>
        <w:adjustRightInd w:val="0"/>
        <w:spacing w:after="0" w:line="240" w:lineRule="auto"/>
        <w:ind w:left="777"/>
        <w:rPr>
          <w:rFonts w:ascii="Arial" w:hAnsi="Arial" w:cs="Arial"/>
          <w:sz w:val="24"/>
          <w:szCs w:val="24"/>
          <w:u w:val="single"/>
        </w:rPr>
      </w:pPr>
    </w:p>
    <w:p w14:paraId="7915012A" w14:textId="43372B98" w:rsidR="006214C5" w:rsidRPr="006D0151" w:rsidRDefault="00717454" w:rsidP="00FD61B6">
      <w:pPr>
        <w:spacing w:after="0" w:line="240" w:lineRule="auto"/>
        <w:rPr>
          <w:rFonts w:ascii="Arial" w:hAnsi="Arial" w:cs="Arial"/>
          <w:sz w:val="24"/>
          <w:szCs w:val="24"/>
          <w:u w:val="single"/>
        </w:rPr>
      </w:pPr>
      <w:r w:rsidRPr="006D0151">
        <w:rPr>
          <w:rFonts w:ascii="Arial" w:hAnsi="Arial" w:cs="Arial"/>
          <w:sz w:val="24"/>
          <w:szCs w:val="24"/>
          <w:u w:val="single"/>
        </w:rPr>
        <w:t>TA Q</w:t>
      </w:r>
      <w:r w:rsidR="0071480A" w:rsidRPr="006D0151">
        <w:rPr>
          <w:rFonts w:ascii="Arial" w:hAnsi="Arial" w:cs="Arial"/>
          <w:sz w:val="24"/>
          <w:szCs w:val="24"/>
          <w:u w:val="single"/>
        </w:rPr>
        <w:t>3</w:t>
      </w:r>
      <w:r w:rsidRPr="006D0151">
        <w:rPr>
          <w:rFonts w:ascii="Arial" w:hAnsi="Arial" w:cs="Arial"/>
          <w:sz w:val="24"/>
          <w:szCs w:val="24"/>
          <w:u w:val="single"/>
        </w:rPr>
        <w:t xml:space="preserve">: </w:t>
      </w:r>
      <w:r w:rsidR="006214C5" w:rsidRPr="006D0151">
        <w:rPr>
          <w:rFonts w:ascii="Arial" w:hAnsi="Arial" w:cs="Arial"/>
          <w:sz w:val="24"/>
          <w:szCs w:val="24"/>
          <w:u w:val="single"/>
        </w:rPr>
        <w:t>What is the difference between a T1 and a T2 arrangement?</w:t>
      </w:r>
    </w:p>
    <w:p w14:paraId="40478DB9" w14:textId="77777777" w:rsidR="0013775A" w:rsidRPr="006D0151" w:rsidRDefault="0013775A" w:rsidP="00FD61B6">
      <w:pPr>
        <w:spacing w:after="0" w:line="240" w:lineRule="auto"/>
        <w:rPr>
          <w:rFonts w:ascii="Arial" w:hAnsi="Arial" w:cs="Arial"/>
          <w:sz w:val="24"/>
          <w:szCs w:val="24"/>
          <w:u w:val="single"/>
        </w:rPr>
      </w:pPr>
    </w:p>
    <w:p w14:paraId="38BCF5C5" w14:textId="3554FEBD" w:rsidR="000B1768" w:rsidRDefault="00717454" w:rsidP="00CB125C">
      <w:pPr>
        <w:spacing w:after="0" w:line="240" w:lineRule="auto"/>
        <w:textAlignment w:val="baseline"/>
        <w:rPr>
          <w:rFonts w:ascii="Arial" w:hAnsi="Arial" w:cs="Arial"/>
          <w:sz w:val="24"/>
          <w:szCs w:val="24"/>
        </w:rPr>
      </w:pPr>
      <w:r w:rsidRPr="006D0151">
        <w:rPr>
          <w:rFonts w:ascii="Arial" w:hAnsi="Arial" w:cs="Arial"/>
          <w:sz w:val="24"/>
          <w:szCs w:val="24"/>
        </w:rPr>
        <w:lastRenderedPageBreak/>
        <w:t>TA A</w:t>
      </w:r>
      <w:r w:rsidR="0071480A" w:rsidRPr="006D0151">
        <w:rPr>
          <w:rFonts w:ascii="Arial" w:hAnsi="Arial" w:cs="Arial"/>
          <w:sz w:val="24"/>
          <w:szCs w:val="24"/>
        </w:rPr>
        <w:t>3</w:t>
      </w:r>
      <w:r w:rsidRPr="006D0151">
        <w:rPr>
          <w:rFonts w:ascii="Arial" w:hAnsi="Arial" w:cs="Arial"/>
          <w:sz w:val="24"/>
          <w:szCs w:val="24"/>
        </w:rPr>
        <w:t xml:space="preserve">: </w:t>
      </w:r>
      <w:r w:rsidR="000B1768">
        <w:rPr>
          <w:rFonts w:ascii="Arial" w:hAnsi="Arial" w:cs="Arial"/>
          <w:sz w:val="24"/>
          <w:szCs w:val="24"/>
        </w:rPr>
        <w:t xml:space="preserve">A T1 arrangement exists between an institution and its third-party servicer when the servicer performs one or more of the functions associated with processing direct payments of Title IV, HEA program funds on behalf of the institution and </w:t>
      </w:r>
      <w:r w:rsidR="000B1768" w:rsidRPr="000B1768">
        <w:rPr>
          <w:rFonts w:ascii="Arial" w:hAnsi="Arial" w:cs="Arial"/>
          <w:sz w:val="24"/>
          <w:szCs w:val="24"/>
        </w:rPr>
        <w:t>the institution o</w:t>
      </w:r>
      <w:r w:rsidR="00CB125C">
        <w:rPr>
          <w:rFonts w:ascii="Arial" w:hAnsi="Arial" w:cs="Arial"/>
          <w:sz w:val="24"/>
          <w:szCs w:val="24"/>
        </w:rPr>
        <w:t>r servicer</w:t>
      </w:r>
      <w:r w:rsidR="000B1768" w:rsidRPr="000B1768">
        <w:rPr>
          <w:rFonts w:ascii="Arial" w:hAnsi="Arial" w:cs="Arial"/>
          <w:sz w:val="24"/>
          <w:szCs w:val="24"/>
        </w:rPr>
        <w:t xml:space="preserve"> makes payments to financial accounts that the servicer </w:t>
      </w:r>
      <w:r w:rsidR="000B1768">
        <w:rPr>
          <w:rFonts w:ascii="Arial" w:hAnsi="Arial" w:cs="Arial"/>
          <w:sz w:val="24"/>
          <w:szCs w:val="24"/>
        </w:rPr>
        <w:t>directly or indirectly offer</w:t>
      </w:r>
      <w:r w:rsidR="000B1768" w:rsidRPr="000B1768">
        <w:rPr>
          <w:rFonts w:ascii="Arial" w:hAnsi="Arial" w:cs="Arial"/>
          <w:sz w:val="24"/>
          <w:szCs w:val="24"/>
        </w:rPr>
        <w:t xml:space="preserve">ed the institution’s </w:t>
      </w:r>
      <w:r w:rsidR="000B1768">
        <w:rPr>
          <w:rFonts w:ascii="Arial" w:hAnsi="Arial" w:cs="Arial"/>
          <w:sz w:val="24"/>
          <w:szCs w:val="24"/>
        </w:rPr>
        <w:t>students and parents. A T2 arrangement is a</w:t>
      </w:r>
      <w:r w:rsidR="000B1768" w:rsidRPr="000B1768">
        <w:rPr>
          <w:rFonts w:ascii="Arial" w:hAnsi="Arial" w:cs="Arial"/>
          <w:sz w:val="24"/>
          <w:szCs w:val="24"/>
        </w:rPr>
        <w:t>n</w:t>
      </w:r>
      <w:r w:rsidR="000B1768">
        <w:rPr>
          <w:rFonts w:ascii="Arial" w:hAnsi="Arial" w:cs="Arial"/>
          <w:sz w:val="24"/>
          <w:szCs w:val="24"/>
        </w:rPr>
        <w:t xml:space="preserve"> </w:t>
      </w:r>
      <w:r w:rsidR="000B1768" w:rsidRPr="000B1768">
        <w:rPr>
          <w:rFonts w:ascii="Arial" w:hAnsi="Arial" w:cs="Arial"/>
          <w:sz w:val="24"/>
          <w:szCs w:val="24"/>
        </w:rPr>
        <w:t xml:space="preserve">arrangement for </w:t>
      </w:r>
      <w:r w:rsidR="000B1768">
        <w:rPr>
          <w:rFonts w:ascii="Arial" w:hAnsi="Arial" w:cs="Arial"/>
          <w:sz w:val="24"/>
          <w:szCs w:val="24"/>
        </w:rPr>
        <w:t xml:space="preserve">direct marketing agreement made between an institution and </w:t>
      </w:r>
      <w:r w:rsidR="00AE555E">
        <w:rPr>
          <w:rFonts w:ascii="Arial" w:hAnsi="Arial" w:cs="Arial"/>
          <w:sz w:val="24"/>
          <w:szCs w:val="24"/>
        </w:rPr>
        <w:t xml:space="preserve">a </w:t>
      </w:r>
      <w:r w:rsidR="000B1768">
        <w:rPr>
          <w:rFonts w:ascii="Arial" w:hAnsi="Arial" w:cs="Arial"/>
          <w:sz w:val="24"/>
          <w:szCs w:val="24"/>
        </w:rPr>
        <w:t xml:space="preserve">financial account provider that is not a third-party servicer.  Both types of arrangements require certain disclosures and contain provisions regarding the availability of surcharge-free ATMs, but only T1 arrangements must comply with certain limitations on fees charged to account holders.  </w:t>
      </w:r>
      <w:r w:rsidR="00F06A21" w:rsidRPr="00F06A21">
        <w:rPr>
          <w:rFonts w:ascii="Arial" w:hAnsi="Arial" w:cs="Arial"/>
          <w:sz w:val="24"/>
          <w:szCs w:val="24"/>
        </w:rPr>
        <w:t>[Guidance issued 5/</w:t>
      </w:r>
      <w:r w:rsidR="00DB1AEF">
        <w:rPr>
          <w:rFonts w:ascii="Arial" w:hAnsi="Arial" w:cs="Arial"/>
          <w:sz w:val="24"/>
          <w:szCs w:val="24"/>
        </w:rPr>
        <w:t>12</w:t>
      </w:r>
      <w:r w:rsidR="00F06A21" w:rsidRPr="00F06A21">
        <w:rPr>
          <w:rFonts w:ascii="Arial" w:hAnsi="Arial" w:cs="Arial"/>
          <w:sz w:val="24"/>
          <w:szCs w:val="24"/>
        </w:rPr>
        <w:t>/2016]</w:t>
      </w:r>
    </w:p>
    <w:p w14:paraId="2F39A0E5" w14:textId="77777777" w:rsidR="00CB125C" w:rsidRDefault="00CB125C" w:rsidP="00CB125C">
      <w:pPr>
        <w:spacing w:after="0" w:line="240" w:lineRule="auto"/>
        <w:textAlignment w:val="baseline"/>
        <w:rPr>
          <w:rFonts w:ascii="Arial" w:hAnsi="Arial" w:cs="Arial"/>
          <w:sz w:val="24"/>
          <w:szCs w:val="24"/>
        </w:rPr>
      </w:pPr>
    </w:p>
    <w:p w14:paraId="2DE0A336" w14:textId="0416A633" w:rsidR="00256D7A" w:rsidRPr="006D0151" w:rsidRDefault="00717454" w:rsidP="00256D7A">
      <w:pPr>
        <w:spacing w:after="0" w:line="240" w:lineRule="auto"/>
        <w:rPr>
          <w:rFonts w:ascii="Arial" w:hAnsi="Arial" w:cs="Arial"/>
          <w:sz w:val="24"/>
          <w:szCs w:val="24"/>
          <w:u w:val="single"/>
        </w:rPr>
      </w:pPr>
      <w:r w:rsidRPr="006D0151">
        <w:rPr>
          <w:rFonts w:ascii="Arial" w:hAnsi="Arial" w:cs="Arial"/>
          <w:sz w:val="24"/>
          <w:szCs w:val="24"/>
          <w:u w:val="single"/>
        </w:rPr>
        <w:t>TA Q</w:t>
      </w:r>
      <w:r w:rsidR="0071480A" w:rsidRPr="006D0151">
        <w:rPr>
          <w:rFonts w:ascii="Arial" w:hAnsi="Arial" w:cs="Arial"/>
          <w:sz w:val="24"/>
          <w:szCs w:val="24"/>
          <w:u w:val="single"/>
        </w:rPr>
        <w:t>4</w:t>
      </w:r>
      <w:r w:rsidRPr="006D0151">
        <w:rPr>
          <w:rFonts w:ascii="Arial" w:hAnsi="Arial" w:cs="Arial"/>
          <w:sz w:val="24"/>
          <w:szCs w:val="24"/>
          <w:u w:val="single"/>
        </w:rPr>
        <w:t xml:space="preserve">: </w:t>
      </w:r>
      <w:r w:rsidR="00256D7A" w:rsidRPr="006D0151">
        <w:rPr>
          <w:rFonts w:ascii="Arial" w:hAnsi="Arial" w:cs="Arial"/>
          <w:sz w:val="24"/>
          <w:szCs w:val="24"/>
          <w:u w:val="single"/>
        </w:rPr>
        <w:t>Why is there a minimum threshold of credit balance recipients for T2 arrangements?</w:t>
      </w:r>
    </w:p>
    <w:p w14:paraId="1414C54E" w14:textId="77777777" w:rsidR="0013775A" w:rsidRPr="006D0151" w:rsidRDefault="0013775A" w:rsidP="00256D7A">
      <w:pPr>
        <w:spacing w:after="0" w:line="240" w:lineRule="auto"/>
        <w:rPr>
          <w:rFonts w:ascii="Arial" w:hAnsi="Arial" w:cs="Arial"/>
          <w:sz w:val="24"/>
          <w:szCs w:val="24"/>
        </w:rPr>
      </w:pPr>
    </w:p>
    <w:p w14:paraId="562A7AF4" w14:textId="37EC9E04" w:rsidR="00695B7D" w:rsidRPr="006D0151" w:rsidRDefault="00717454" w:rsidP="00256D7A">
      <w:pPr>
        <w:spacing w:after="0" w:line="240" w:lineRule="auto"/>
        <w:rPr>
          <w:rFonts w:ascii="Arial" w:hAnsi="Arial" w:cs="Arial"/>
          <w:sz w:val="24"/>
          <w:szCs w:val="24"/>
        </w:rPr>
      </w:pPr>
      <w:r w:rsidRPr="006D0151">
        <w:rPr>
          <w:rFonts w:ascii="Arial" w:hAnsi="Arial" w:cs="Arial"/>
          <w:sz w:val="24"/>
          <w:szCs w:val="24"/>
        </w:rPr>
        <w:t>TA A</w:t>
      </w:r>
      <w:r w:rsidR="0071480A" w:rsidRPr="006D0151">
        <w:rPr>
          <w:rFonts w:ascii="Arial" w:hAnsi="Arial" w:cs="Arial"/>
          <w:sz w:val="24"/>
          <w:szCs w:val="24"/>
        </w:rPr>
        <w:t>4</w:t>
      </w:r>
      <w:r w:rsidRPr="006D0151">
        <w:rPr>
          <w:rFonts w:ascii="Arial" w:hAnsi="Arial" w:cs="Arial"/>
          <w:sz w:val="24"/>
          <w:szCs w:val="24"/>
        </w:rPr>
        <w:t xml:space="preserve">: </w:t>
      </w:r>
      <w:r w:rsidR="007A4AE1" w:rsidRPr="006D0151">
        <w:rPr>
          <w:rFonts w:ascii="Arial" w:hAnsi="Arial" w:cs="Arial"/>
          <w:sz w:val="24"/>
          <w:szCs w:val="24"/>
        </w:rPr>
        <w:t>Our reasons for establishing a higher threshold are described in detail in the final regulations</w:t>
      </w:r>
      <w:r w:rsidR="005169FE">
        <w:rPr>
          <w:rFonts w:ascii="Arial" w:hAnsi="Arial" w:cs="Arial"/>
          <w:sz w:val="24"/>
          <w:szCs w:val="24"/>
        </w:rPr>
        <w:t xml:space="preserve"> published on</w:t>
      </w:r>
      <w:r w:rsidR="00933B3E">
        <w:rPr>
          <w:rFonts w:ascii="Arial" w:hAnsi="Arial" w:cs="Arial"/>
          <w:sz w:val="24"/>
          <w:szCs w:val="24"/>
        </w:rPr>
        <w:t xml:space="preserve"> October 30, 2015</w:t>
      </w:r>
      <w:r w:rsidR="00F43D29">
        <w:rPr>
          <w:rFonts w:ascii="Arial" w:hAnsi="Arial" w:cs="Arial"/>
          <w:sz w:val="24"/>
          <w:szCs w:val="24"/>
        </w:rPr>
        <w:t>.</w:t>
      </w:r>
      <w:r w:rsidR="007A4AE1" w:rsidRPr="006D0151">
        <w:rPr>
          <w:rFonts w:ascii="Arial" w:hAnsi="Arial" w:cs="Arial"/>
          <w:sz w:val="24"/>
          <w:szCs w:val="24"/>
        </w:rPr>
        <w:t xml:space="preserve"> </w:t>
      </w:r>
      <w:r w:rsidR="00F43D29">
        <w:rPr>
          <w:rFonts w:ascii="Arial" w:hAnsi="Arial" w:cs="Arial"/>
          <w:sz w:val="24"/>
          <w:szCs w:val="24"/>
        </w:rPr>
        <w:t>T</w:t>
      </w:r>
      <w:r w:rsidR="007A4AE1" w:rsidRPr="006D0151">
        <w:rPr>
          <w:rFonts w:ascii="Arial" w:hAnsi="Arial" w:cs="Arial"/>
          <w:sz w:val="24"/>
          <w:szCs w:val="24"/>
        </w:rPr>
        <w:t xml:space="preserve">hey are based on existing Department regulations and </w:t>
      </w:r>
      <w:r w:rsidR="00F43D29">
        <w:rPr>
          <w:rFonts w:ascii="Arial" w:hAnsi="Arial" w:cs="Arial"/>
          <w:sz w:val="24"/>
          <w:szCs w:val="24"/>
        </w:rPr>
        <w:t xml:space="preserve">an </w:t>
      </w:r>
      <w:r w:rsidR="007A4AE1" w:rsidRPr="006D0151">
        <w:rPr>
          <w:rFonts w:ascii="Arial" w:hAnsi="Arial" w:cs="Arial"/>
          <w:sz w:val="24"/>
          <w:szCs w:val="24"/>
        </w:rPr>
        <w:t xml:space="preserve">analysis of publicly available data to determine thresholds at which a sufficient number of students exist to warrant regulation.  </w:t>
      </w:r>
      <w:r w:rsidR="00256D7A" w:rsidRPr="006D0151">
        <w:rPr>
          <w:rFonts w:ascii="Arial" w:hAnsi="Arial" w:cs="Arial"/>
          <w:sz w:val="24"/>
          <w:szCs w:val="24"/>
        </w:rPr>
        <w:t xml:space="preserve">We acknowledge that where no </w:t>
      </w:r>
      <w:r w:rsidR="006D0151">
        <w:rPr>
          <w:rFonts w:ascii="Arial" w:hAnsi="Arial" w:cs="Arial"/>
          <w:sz w:val="24"/>
          <w:szCs w:val="24"/>
        </w:rPr>
        <w:t>Title</w:t>
      </w:r>
      <w:r w:rsidR="00256D7A" w:rsidRPr="006D0151">
        <w:rPr>
          <w:rFonts w:ascii="Arial" w:hAnsi="Arial" w:cs="Arial"/>
          <w:sz w:val="24"/>
          <w:szCs w:val="24"/>
        </w:rPr>
        <w:t xml:space="preserve"> IV credit balances exist, the Department’s regul</w:t>
      </w:r>
      <w:r w:rsidR="00CB125C">
        <w:rPr>
          <w:rFonts w:ascii="Arial" w:hAnsi="Arial" w:cs="Arial"/>
          <w:sz w:val="24"/>
          <w:szCs w:val="24"/>
        </w:rPr>
        <w:t>atory authority is limited. To protect the</w:t>
      </w:r>
      <w:r w:rsidR="00256D7A" w:rsidRPr="006D0151">
        <w:rPr>
          <w:rFonts w:ascii="Arial" w:hAnsi="Arial" w:cs="Arial"/>
          <w:sz w:val="24"/>
          <w:szCs w:val="24"/>
        </w:rPr>
        <w:t xml:space="preserve"> </w:t>
      </w:r>
      <w:r w:rsidR="005169FE">
        <w:rPr>
          <w:rFonts w:ascii="Arial" w:hAnsi="Arial" w:cs="Arial"/>
          <w:sz w:val="24"/>
          <w:szCs w:val="24"/>
        </w:rPr>
        <w:t>Federal</w:t>
      </w:r>
      <w:r w:rsidR="005169FE" w:rsidRPr="006D0151">
        <w:rPr>
          <w:rFonts w:ascii="Arial" w:hAnsi="Arial" w:cs="Arial"/>
          <w:sz w:val="24"/>
          <w:szCs w:val="24"/>
        </w:rPr>
        <w:t xml:space="preserve"> </w:t>
      </w:r>
      <w:r w:rsidR="00256D7A" w:rsidRPr="006D0151">
        <w:rPr>
          <w:rFonts w:ascii="Arial" w:hAnsi="Arial" w:cs="Arial"/>
          <w:sz w:val="24"/>
          <w:szCs w:val="24"/>
        </w:rPr>
        <w:t>interest at institutions with T2 arrangements, we have established thresholds of</w:t>
      </w:r>
      <w:r w:rsidR="006363F7" w:rsidRPr="006D0151">
        <w:rPr>
          <w:rFonts w:ascii="Arial" w:hAnsi="Arial" w:cs="Arial"/>
          <w:sz w:val="24"/>
          <w:szCs w:val="24"/>
        </w:rPr>
        <w:t xml:space="preserve"> enrolled</w:t>
      </w:r>
      <w:r w:rsidR="00256D7A" w:rsidRPr="006D0151">
        <w:rPr>
          <w:rFonts w:ascii="Arial" w:hAnsi="Arial" w:cs="Arial"/>
          <w:sz w:val="24"/>
          <w:szCs w:val="24"/>
        </w:rPr>
        <w:t xml:space="preserve"> </w:t>
      </w:r>
      <w:r w:rsidR="006D0151">
        <w:rPr>
          <w:rFonts w:ascii="Arial" w:hAnsi="Arial" w:cs="Arial"/>
          <w:sz w:val="24"/>
          <w:szCs w:val="24"/>
        </w:rPr>
        <w:t>Title</w:t>
      </w:r>
      <w:r w:rsidR="00256D7A" w:rsidRPr="006D0151">
        <w:rPr>
          <w:rFonts w:ascii="Arial" w:hAnsi="Arial" w:cs="Arial"/>
          <w:sz w:val="24"/>
          <w:szCs w:val="24"/>
        </w:rPr>
        <w:t xml:space="preserve"> IV recipients before our regulations </w:t>
      </w:r>
      <w:r w:rsidR="00F43D29">
        <w:rPr>
          <w:rFonts w:ascii="Arial" w:hAnsi="Arial" w:cs="Arial"/>
          <w:sz w:val="24"/>
          <w:szCs w:val="24"/>
        </w:rPr>
        <w:t xml:space="preserve">would </w:t>
      </w:r>
      <w:r w:rsidR="00256D7A" w:rsidRPr="006D0151">
        <w:rPr>
          <w:rFonts w:ascii="Arial" w:hAnsi="Arial" w:cs="Arial"/>
          <w:sz w:val="24"/>
          <w:szCs w:val="24"/>
        </w:rPr>
        <w:t xml:space="preserve">apply. </w:t>
      </w:r>
      <w:r w:rsidR="00E3153D" w:rsidRPr="006D0151">
        <w:rPr>
          <w:rFonts w:ascii="Arial" w:hAnsi="Arial" w:cs="Arial"/>
          <w:sz w:val="24"/>
          <w:szCs w:val="24"/>
        </w:rPr>
        <w:t xml:space="preserve"> </w:t>
      </w:r>
      <w:r w:rsidR="00256D7A" w:rsidRPr="006D0151">
        <w:rPr>
          <w:rFonts w:ascii="Arial" w:hAnsi="Arial" w:cs="Arial"/>
          <w:sz w:val="24"/>
          <w:szCs w:val="24"/>
        </w:rPr>
        <w:t>While some provisions</w:t>
      </w:r>
      <w:r w:rsidR="00C740BD" w:rsidRPr="006D0151">
        <w:rPr>
          <w:rFonts w:ascii="Arial" w:hAnsi="Arial" w:cs="Arial"/>
          <w:sz w:val="24"/>
          <w:szCs w:val="24"/>
        </w:rPr>
        <w:t xml:space="preserve"> </w:t>
      </w:r>
      <w:r w:rsidR="006C5F2E" w:rsidRPr="006D0151">
        <w:rPr>
          <w:rFonts w:ascii="Arial" w:hAnsi="Arial" w:cs="Arial"/>
          <w:sz w:val="24"/>
          <w:szCs w:val="24"/>
        </w:rPr>
        <w:t xml:space="preserve">are applicable when </w:t>
      </w:r>
      <w:r w:rsidR="00C740BD" w:rsidRPr="006D0151">
        <w:rPr>
          <w:rFonts w:ascii="Arial" w:hAnsi="Arial" w:cs="Arial"/>
          <w:sz w:val="24"/>
          <w:szCs w:val="24"/>
        </w:rPr>
        <w:t xml:space="preserve">only a </w:t>
      </w:r>
      <w:r w:rsidR="006C5F2E" w:rsidRPr="006D0151">
        <w:rPr>
          <w:rFonts w:ascii="Arial" w:hAnsi="Arial" w:cs="Arial"/>
          <w:sz w:val="24"/>
          <w:szCs w:val="24"/>
        </w:rPr>
        <w:t xml:space="preserve">single student receives a credit balance </w:t>
      </w:r>
      <w:r w:rsidR="00256D7A" w:rsidRPr="006D0151">
        <w:rPr>
          <w:rFonts w:ascii="Arial" w:hAnsi="Arial" w:cs="Arial"/>
          <w:sz w:val="24"/>
          <w:szCs w:val="24"/>
        </w:rPr>
        <w:t xml:space="preserve">in each of the most recent three years (for example, </w:t>
      </w:r>
      <w:r w:rsidR="0071480A" w:rsidRPr="006D0151">
        <w:rPr>
          <w:rFonts w:ascii="Arial" w:hAnsi="Arial" w:cs="Arial"/>
          <w:sz w:val="24"/>
          <w:szCs w:val="24"/>
        </w:rPr>
        <w:t>the provisions regarding student consent to sharing of personally identifiable information with a financial institution or its agents</w:t>
      </w:r>
      <w:r w:rsidR="00256D7A" w:rsidRPr="006D0151">
        <w:rPr>
          <w:rFonts w:ascii="Arial" w:hAnsi="Arial" w:cs="Arial"/>
          <w:sz w:val="24"/>
          <w:szCs w:val="24"/>
        </w:rPr>
        <w:t xml:space="preserve">), there are three provisions that </w:t>
      </w:r>
      <w:r w:rsidR="004E359A" w:rsidRPr="006D0151">
        <w:rPr>
          <w:rFonts w:ascii="Arial" w:hAnsi="Arial" w:cs="Arial"/>
          <w:sz w:val="24"/>
          <w:szCs w:val="24"/>
        </w:rPr>
        <w:t xml:space="preserve">apply </w:t>
      </w:r>
      <w:r w:rsidR="00F43D29">
        <w:rPr>
          <w:rFonts w:ascii="Arial" w:hAnsi="Arial" w:cs="Arial"/>
          <w:sz w:val="24"/>
          <w:szCs w:val="24"/>
        </w:rPr>
        <w:t xml:space="preserve">only </w:t>
      </w:r>
      <w:r w:rsidR="004E359A" w:rsidRPr="006D0151">
        <w:rPr>
          <w:rFonts w:ascii="Arial" w:hAnsi="Arial" w:cs="Arial"/>
          <w:sz w:val="24"/>
          <w:szCs w:val="24"/>
        </w:rPr>
        <w:t>if</w:t>
      </w:r>
      <w:r w:rsidR="00E0539E" w:rsidRPr="006D0151">
        <w:rPr>
          <w:rFonts w:ascii="Arial" w:hAnsi="Arial" w:cs="Arial"/>
          <w:sz w:val="24"/>
          <w:szCs w:val="24"/>
        </w:rPr>
        <w:t xml:space="preserve"> either</w:t>
      </w:r>
      <w:r w:rsidR="004E359A" w:rsidRPr="006D0151">
        <w:rPr>
          <w:rFonts w:ascii="Arial" w:hAnsi="Arial" w:cs="Arial"/>
          <w:sz w:val="24"/>
          <w:szCs w:val="24"/>
        </w:rPr>
        <w:t xml:space="preserve"> </w:t>
      </w:r>
      <w:r w:rsidR="00D30B32" w:rsidRPr="006D0151">
        <w:rPr>
          <w:rFonts w:ascii="Arial" w:hAnsi="Arial" w:cs="Arial"/>
          <w:sz w:val="24"/>
          <w:szCs w:val="24"/>
        </w:rPr>
        <w:t xml:space="preserve">an average of </w:t>
      </w:r>
      <w:r w:rsidR="004E359A" w:rsidRPr="006D0151">
        <w:rPr>
          <w:rFonts w:ascii="Arial" w:hAnsi="Arial" w:cs="Arial"/>
          <w:sz w:val="24"/>
          <w:szCs w:val="24"/>
        </w:rPr>
        <w:t>500</w:t>
      </w:r>
      <w:r w:rsidR="00D30B32" w:rsidRPr="006D0151">
        <w:rPr>
          <w:rFonts w:ascii="Arial" w:hAnsi="Arial" w:cs="Arial"/>
          <w:sz w:val="24"/>
          <w:szCs w:val="24"/>
        </w:rPr>
        <w:t xml:space="preserve"> or more</w:t>
      </w:r>
      <w:r w:rsidR="004E359A" w:rsidRPr="006D0151">
        <w:rPr>
          <w:rFonts w:ascii="Arial" w:hAnsi="Arial" w:cs="Arial"/>
          <w:sz w:val="24"/>
          <w:szCs w:val="24"/>
        </w:rPr>
        <w:t xml:space="preserve">, or five percent </w:t>
      </w:r>
      <w:r w:rsidR="00D30B32" w:rsidRPr="006D0151">
        <w:rPr>
          <w:rFonts w:ascii="Arial" w:hAnsi="Arial" w:cs="Arial"/>
          <w:sz w:val="24"/>
          <w:szCs w:val="24"/>
        </w:rPr>
        <w:t xml:space="preserve">or more </w:t>
      </w:r>
      <w:r w:rsidR="004E359A" w:rsidRPr="006D0151">
        <w:rPr>
          <w:rFonts w:ascii="Arial" w:hAnsi="Arial" w:cs="Arial"/>
          <w:sz w:val="24"/>
          <w:szCs w:val="24"/>
        </w:rPr>
        <w:t>of, students</w:t>
      </w:r>
      <w:r w:rsidR="004E359A" w:rsidRPr="006D0151" w:rsidDel="00314DD8">
        <w:rPr>
          <w:rFonts w:ascii="Arial" w:hAnsi="Arial" w:cs="Arial"/>
          <w:sz w:val="24"/>
          <w:szCs w:val="24"/>
        </w:rPr>
        <w:t xml:space="preserve"> </w:t>
      </w:r>
      <w:r w:rsidR="004E359A" w:rsidRPr="006D0151">
        <w:rPr>
          <w:rFonts w:ascii="Arial" w:hAnsi="Arial" w:cs="Arial"/>
          <w:sz w:val="24"/>
          <w:szCs w:val="24"/>
        </w:rPr>
        <w:t xml:space="preserve">receive a </w:t>
      </w:r>
      <w:r w:rsidR="00F43D29">
        <w:rPr>
          <w:rFonts w:ascii="Arial" w:hAnsi="Arial" w:cs="Arial"/>
          <w:sz w:val="24"/>
          <w:szCs w:val="24"/>
        </w:rPr>
        <w:t xml:space="preserve">Title IV </w:t>
      </w:r>
      <w:r w:rsidR="004E359A" w:rsidRPr="006D0151">
        <w:rPr>
          <w:rFonts w:ascii="Arial" w:hAnsi="Arial" w:cs="Arial"/>
          <w:sz w:val="24"/>
          <w:szCs w:val="24"/>
        </w:rPr>
        <w:t xml:space="preserve">credit balance: </w:t>
      </w:r>
      <w:r w:rsidR="00314DD8" w:rsidRPr="006D0151">
        <w:rPr>
          <w:rFonts w:ascii="Arial" w:hAnsi="Arial" w:cs="Arial"/>
          <w:sz w:val="24"/>
          <w:szCs w:val="24"/>
        </w:rPr>
        <w:t xml:space="preserve">requirements for </w:t>
      </w:r>
      <w:r w:rsidR="00AE555E">
        <w:rPr>
          <w:rFonts w:ascii="Arial" w:hAnsi="Arial" w:cs="Arial"/>
          <w:sz w:val="24"/>
          <w:szCs w:val="24"/>
        </w:rPr>
        <w:t xml:space="preserve">convenient </w:t>
      </w:r>
      <w:r w:rsidR="00256D7A" w:rsidRPr="006D0151">
        <w:rPr>
          <w:rFonts w:ascii="Arial" w:hAnsi="Arial" w:cs="Arial"/>
          <w:sz w:val="24"/>
          <w:szCs w:val="24"/>
        </w:rPr>
        <w:t xml:space="preserve">ATM access, due diligence </w:t>
      </w:r>
      <w:r w:rsidR="00314DD8" w:rsidRPr="006D0151">
        <w:rPr>
          <w:rFonts w:ascii="Arial" w:hAnsi="Arial" w:cs="Arial"/>
          <w:sz w:val="24"/>
          <w:szCs w:val="24"/>
        </w:rPr>
        <w:t xml:space="preserve">responsibilities in </w:t>
      </w:r>
      <w:r w:rsidR="00256D7A" w:rsidRPr="006D0151">
        <w:rPr>
          <w:rFonts w:ascii="Arial" w:hAnsi="Arial" w:cs="Arial"/>
          <w:sz w:val="24"/>
          <w:szCs w:val="24"/>
        </w:rPr>
        <w:t xml:space="preserve">negotiating the </w:t>
      </w:r>
      <w:r w:rsidR="00314DD8" w:rsidRPr="006D0151">
        <w:rPr>
          <w:rFonts w:ascii="Arial" w:hAnsi="Arial" w:cs="Arial"/>
          <w:sz w:val="24"/>
          <w:szCs w:val="24"/>
        </w:rPr>
        <w:t xml:space="preserve">marketing </w:t>
      </w:r>
      <w:r w:rsidR="00256D7A" w:rsidRPr="006D0151">
        <w:rPr>
          <w:rFonts w:ascii="Arial" w:hAnsi="Arial" w:cs="Arial"/>
          <w:sz w:val="24"/>
          <w:szCs w:val="24"/>
        </w:rPr>
        <w:t xml:space="preserve">contract in the best interests of students, and </w:t>
      </w:r>
      <w:r w:rsidR="00314DD8" w:rsidRPr="006D0151">
        <w:rPr>
          <w:rFonts w:ascii="Arial" w:hAnsi="Arial" w:cs="Arial"/>
          <w:sz w:val="24"/>
          <w:szCs w:val="24"/>
        </w:rPr>
        <w:t xml:space="preserve">required </w:t>
      </w:r>
      <w:r w:rsidR="00256D7A" w:rsidRPr="006D0151">
        <w:rPr>
          <w:rFonts w:ascii="Arial" w:hAnsi="Arial" w:cs="Arial"/>
          <w:sz w:val="24"/>
          <w:szCs w:val="24"/>
        </w:rPr>
        <w:t>disclosure</w:t>
      </w:r>
      <w:r w:rsidR="00314DD8" w:rsidRPr="006D0151">
        <w:rPr>
          <w:rFonts w:ascii="Arial" w:hAnsi="Arial" w:cs="Arial"/>
          <w:sz w:val="24"/>
          <w:szCs w:val="24"/>
        </w:rPr>
        <w:t>s</w:t>
      </w:r>
      <w:r w:rsidR="00256D7A" w:rsidRPr="006D0151">
        <w:rPr>
          <w:rFonts w:ascii="Arial" w:hAnsi="Arial" w:cs="Arial"/>
          <w:sz w:val="24"/>
          <w:szCs w:val="24"/>
        </w:rPr>
        <w:t xml:space="preserve"> of summary cost information. </w:t>
      </w:r>
      <w:r w:rsidR="00E3153D" w:rsidRPr="006D0151">
        <w:rPr>
          <w:rFonts w:ascii="Arial" w:hAnsi="Arial" w:cs="Arial"/>
          <w:sz w:val="24"/>
          <w:szCs w:val="24"/>
        </w:rPr>
        <w:t xml:space="preserve"> </w:t>
      </w:r>
      <w:r w:rsidR="00F06A21" w:rsidRPr="00F06A21">
        <w:rPr>
          <w:rFonts w:ascii="Arial" w:hAnsi="Arial" w:cs="Arial"/>
          <w:sz w:val="24"/>
          <w:szCs w:val="24"/>
        </w:rPr>
        <w:t>[Guidance issued 5/</w:t>
      </w:r>
      <w:r w:rsidR="00DB1AEF">
        <w:rPr>
          <w:rFonts w:ascii="Arial" w:hAnsi="Arial" w:cs="Arial"/>
          <w:sz w:val="24"/>
          <w:szCs w:val="24"/>
        </w:rPr>
        <w:t>12</w:t>
      </w:r>
      <w:r w:rsidR="00F06A21" w:rsidRPr="00F06A21">
        <w:rPr>
          <w:rFonts w:ascii="Arial" w:hAnsi="Arial" w:cs="Arial"/>
          <w:sz w:val="24"/>
          <w:szCs w:val="24"/>
        </w:rPr>
        <w:t>/2016]</w:t>
      </w:r>
    </w:p>
    <w:p w14:paraId="6442B31A" w14:textId="77777777" w:rsidR="00FD61B6" w:rsidRPr="006D0151" w:rsidRDefault="00FD61B6" w:rsidP="00FD61B6">
      <w:pPr>
        <w:spacing w:after="0" w:line="240" w:lineRule="auto"/>
        <w:rPr>
          <w:rFonts w:ascii="Arial" w:hAnsi="Arial" w:cs="Arial"/>
          <w:sz w:val="24"/>
          <w:szCs w:val="24"/>
          <w:u w:val="single"/>
        </w:rPr>
      </w:pPr>
    </w:p>
    <w:p w14:paraId="7915012C" w14:textId="75634E0A" w:rsidR="008A372F" w:rsidRPr="006D0151" w:rsidRDefault="00717454" w:rsidP="00FD61B6">
      <w:pPr>
        <w:spacing w:after="0" w:line="240" w:lineRule="auto"/>
        <w:rPr>
          <w:rFonts w:ascii="Arial" w:hAnsi="Arial" w:cs="Arial"/>
          <w:sz w:val="24"/>
          <w:szCs w:val="24"/>
          <w:u w:val="single"/>
        </w:rPr>
      </w:pPr>
      <w:r w:rsidRPr="006D0151">
        <w:rPr>
          <w:rFonts w:ascii="Arial" w:hAnsi="Arial" w:cs="Arial"/>
          <w:sz w:val="24"/>
          <w:szCs w:val="24"/>
          <w:u w:val="single"/>
        </w:rPr>
        <w:t>TA Q</w:t>
      </w:r>
      <w:r w:rsidR="0071480A" w:rsidRPr="006D0151">
        <w:rPr>
          <w:rFonts w:ascii="Arial" w:hAnsi="Arial" w:cs="Arial"/>
          <w:sz w:val="24"/>
          <w:szCs w:val="24"/>
          <w:u w:val="single"/>
        </w:rPr>
        <w:t>5</w:t>
      </w:r>
      <w:r w:rsidRPr="006D0151">
        <w:rPr>
          <w:rFonts w:ascii="Arial" w:hAnsi="Arial" w:cs="Arial"/>
          <w:sz w:val="24"/>
          <w:szCs w:val="24"/>
          <w:u w:val="single"/>
        </w:rPr>
        <w:t xml:space="preserve">: </w:t>
      </w:r>
      <w:r w:rsidR="00256D7A" w:rsidRPr="006D0151">
        <w:rPr>
          <w:rFonts w:ascii="Arial" w:hAnsi="Arial" w:cs="Arial"/>
          <w:sz w:val="24"/>
          <w:szCs w:val="24"/>
          <w:u w:val="single"/>
        </w:rPr>
        <w:t xml:space="preserve">For purposes of </w:t>
      </w:r>
      <w:r w:rsidR="00561673" w:rsidRPr="006D0151">
        <w:rPr>
          <w:rFonts w:ascii="Arial" w:hAnsi="Arial" w:cs="Arial"/>
          <w:sz w:val="24"/>
          <w:szCs w:val="24"/>
          <w:u w:val="single"/>
        </w:rPr>
        <w:t xml:space="preserve">triggering status as a T2 arrangement based on issuance of a </w:t>
      </w:r>
      <w:r w:rsidR="00256D7A" w:rsidRPr="006D0151">
        <w:rPr>
          <w:rFonts w:ascii="Arial" w:hAnsi="Arial" w:cs="Arial"/>
          <w:sz w:val="24"/>
          <w:szCs w:val="24"/>
          <w:u w:val="single"/>
        </w:rPr>
        <w:t xml:space="preserve">cobranded card, what </w:t>
      </w:r>
      <w:r w:rsidR="008A372F" w:rsidRPr="006D0151">
        <w:rPr>
          <w:rFonts w:ascii="Arial" w:hAnsi="Arial" w:cs="Arial"/>
          <w:sz w:val="24"/>
          <w:szCs w:val="24"/>
          <w:u w:val="single"/>
        </w:rPr>
        <w:t>constitutes “principally marketed to enrolled students”? </w:t>
      </w:r>
    </w:p>
    <w:p w14:paraId="7BE205AB" w14:textId="77777777" w:rsidR="0013775A" w:rsidRPr="006D0151" w:rsidRDefault="0013775A" w:rsidP="00FD61B6">
      <w:pPr>
        <w:spacing w:after="0" w:line="240" w:lineRule="auto"/>
        <w:rPr>
          <w:rFonts w:ascii="Arial" w:hAnsi="Arial" w:cs="Arial"/>
          <w:sz w:val="24"/>
          <w:szCs w:val="24"/>
          <w:u w:val="single"/>
        </w:rPr>
      </w:pPr>
    </w:p>
    <w:p w14:paraId="78D18454" w14:textId="4603A1D2" w:rsidR="008B017C" w:rsidRPr="006D0151" w:rsidRDefault="00717454" w:rsidP="008B017C">
      <w:pPr>
        <w:spacing w:after="0" w:line="240" w:lineRule="auto"/>
        <w:rPr>
          <w:rFonts w:ascii="Arial" w:hAnsi="Arial" w:cs="Arial"/>
          <w:sz w:val="24"/>
          <w:szCs w:val="24"/>
        </w:rPr>
      </w:pPr>
      <w:r w:rsidRPr="006D0151">
        <w:rPr>
          <w:rFonts w:ascii="Arial" w:hAnsi="Arial" w:cs="Arial"/>
          <w:sz w:val="24"/>
          <w:szCs w:val="24"/>
        </w:rPr>
        <w:t>TA A</w:t>
      </w:r>
      <w:r w:rsidR="0071480A" w:rsidRPr="006D0151">
        <w:rPr>
          <w:rFonts w:ascii="Arial" w:hAnsi="Arial" w:cs="Arial"/>
          <w:sz w:val="24"/>
          <w:szCs w:val="24"/>
        </w:rPr>
        <w:t>5</w:t>
      </w:r>
      <w:r w:rsidRPr="006D0151">
        <w:rPr>
          <w:rFonts w:ascii="Arial" w:hAnsi="Arial" w:cs="Arial"/>
          <w:sz w:val="24"/>
          <w:szCs w:val="24"/>
        </w:rPr>
        <w:t xml:space="preserve">: </w:t>
      </w:r>
      <w:r w:rsidR="008B017C" w:rsidRPr="006D0151">
        <w:rPr>
          <w:rFonts w:ascii="Arial" w:hAnsi="Arial" w:cs="Arial"/>
          <w:sz w:val="24"/>
          <w:szCs w:val="24"/>
        </w:rPr>
        <w:t xml:space="preserve">Because students are often led to believe that a card or access device bearing the institution’s logo constitutes an endorsement of the product by the institution, the regulations cover certain instances of cobranding. </w:t>
      </w:r>
      <w:r w:rsidR="00E3153D" w:rsidRPr="006D0151">
        <w:rPr>
          <w:rFonts w:ascii="Arial" w:hAnsi="Arial" w:cs="Arial"/>
          <w:sz w:val="24"/>
          <w:szCs w:val="24"/>
        </w:rPr>
        <w:t xml:space="preserve"> </w:t>
      </w:r>
      <w:r w:rsidR="008B017C" w:rsidRPr="006D0151">
        <w:rPr>
          <w:rFonts w:ascii="Arial" w:hAnsi="Arial" w:cs="Arial"/>
          <w:sz w:val="24"/>
          <w:szCs w:val="24"/>
        </w:rPr>
        <w:t xml:space="preserve">However, the general banking market also supports so-called “affinity agreements” </w:t>
      </w:r>
      <w:r w:rsidR="00E3153D" w:rsidRPr="006D0151">
        <w:rPr>
          <w:rFonts w:ascii="Arial" w:hAnsi="Arial" w:cs="Arial"/>
          <w:sz w:val="24"/>
          <w:szCs w:val="24"/>
        </w:rPr>
        <w:t xml:space="preserve">under which </w:t>
      </w:r>
      <w:r w:rsidR="008B017C" w:rsidRPr="006D0151">
        <w:rPr>
          <w:rFonts w:ascii="Arial" w:hAnsi="Arial" w:cs="Arial"/>
          <w:sz w:val="24"/>
          <w:szCs w:val="24"/>
        </w:rPr>
        <w:t>institutions contract for the use of their intellectual property</w:t>
      </w:r>
      <w:r w:rsidR="00CF0BF0" w:rsidRPr="006D0151">
        <w:rPr>
          <w:rFonts w:ascii="Arial" w:hAnsi="Arial" w:cs="Arial"/>
          <w:sz w:val="24"/>
          <w:szCs w:val="24"/>
        </w:rPr>
        <w:t>.</w:t>
      </w:r>
      <w:r w:rsidR="008B017C" w:rsidRPr="006D0151">
        <w:rPr>
          <w:rFonts w:ascii="Arial" w:hAnsi="Arial" w:cs="Arial"/>
          <w:sz w:val="24"/>
          <w:szCs w:val="24"/>
        </w:rPr>
        <w:t xml:space="preserve"> </w:t>
      </w:r>
      <w:r w:rsidR="00E3153D" w:rsidRPr="006D0151">
        <w:rPr>
          <w:rFonts w:ascii="Arial" w:hAnsi="Arial" w:cs="Arial"/>
          <w:sz w:val="24"/>
          <w:szCs w:val="24"/>
        </w:rPr>
        <w:t xml:space="preserve"> </w:t>
      </w:r>
      <w:r w:rsidR="00CF0BF0" w:rsidRPr="006D0151">
        <w:rPr>
          <w:rFonts w:ascii="Arial" w:hAnsi="Arial" w:cs="Arial"/>
          <w:sz w:val="24"/>
          <w:szCs w:val="24"/>
        </w:rPr>
        <w:t xml:space="preserve">Products offered under affinity </w:t>
      </w:r>
      <w:r w:rsidR="008B017C" w:rsidRPr="006D0151">
        <w:rPr>
          <w:rFonts w:ascii="Arial" w:hAnsi="Arial" w:cs="Arial"/>
          <w:sz w:val="24"/>
          <w:szCs w:val="24"/>
        </w:rPr>
        <w:t xml:space="preserve">agreements are </w:t>
      </w:r>
      <w:r w:rsidR="00CF0BF0" w:rsidRPr="006D0151">
        <w:rPr>
          <w:rFonts w:ascii="Arial" w:hAnsi="Arial" w:cs="Arial"/>
          <w:sz w:val="24"/>
          <w:szCs w:val="24"/>
        </w:rPr>
        <w:t xml:space="preserve">typically </w:t>
      </w:r>
      <w:r w:rsidR="008B017C" w:rsidRPr="006D0151">
        <w:rPr>
          <w:rFonts w:ascii="Arial" w:hAnsi="Arial" w:cs="Arial"/>
          <w:sz w:val="24"/>
          <w:szCs w:val="24"/>
        </w:rPr>
        <w:t xml:space="preserve">intended for </w:t>
      </w:r>
      <w:r w:rsidR="00CF0BF0" w:rsidRPr="006D0151">
        <w:rPr>
          <w:rFonts w:ascii="Arial" w:hAnsi="Arial" w:cs="Arial"/>
          <w:sz w:val="24"/>
          <w:szCs w:val="24"/>
        </w:rPr>
        <w:t xml:space="preserve">general </w:t>
      </w:r>
      <w:r w:rsidR="008B017C" w:rsidRPr="006D0151">
        <w:rPr>
          <w:rFonts w:ascii="Arial" w:hAnsi="Arial" w:cs="Arial"/>
          <w:sz w:val="24"/>
          <w:szCs w:val="24"/>
        </w:rPr>
        <w:t xml:space="preserve">banking consumers and not for students with </w:t>
      </w:r>
      <w:r w:rsidR="006D0151">
        <w:rPr>
          <w:rFonts w:ascii="Arial" w:hAnsi="Arial" w:cs="Arial"/>
          <w:sz w:val="24"/>
          <w:szCs w:val="24"/>
        </w:rPr>
        <w:t>Title</w:t>
      </w:r>
      <w:r w:rsidR="008B017C" w:rsidRPr="006D0151">
        <w:rPr>
          <w:rFonts w:ascii="Arial" w:hAnsi="Arial" w:cs="Arial"/>
          <w:sz w:val="24"/>
          <w:szCs w:val="24"/>
        </w:rPr>
        <w:t xml:space="preserve"> IV credit balances. </w:t>
      </w:r>
      <w:r w:rsidR="00E3153D" w:rsidRPr="006D0151">
        <w:rPr>
          <w:rFonts w:ascii="Arial" w:hAnsi="Arial" w:cs="Arial"/>
          <w:sz w:val="24"/>
          <w:szCs w:val="24"/>
        </w:rPr>
        <w:t xml:space="preserve"> </w:t>
      </w:r>
      <w:r w:rsidR="008B017C" w:rsidRPr="006D0151">
        <w:rPr>
          <w:rFonts w:ascii="Arial" w:hAnsi="Arial" w:cs="Arial"/>
          <w:sz w:val="24"/>
          <w:szCs w:val="24"/>
        </w:rPr>
        <w:t xml:space="preserve">We believe the distinguishing characteristic between affinity agreements and those instances where students are the subject of direct marketing is whether the access device is principally marketed to </w:t>
      </w:r>
      <w:r w:rsidR="00653B39" w:rsidRPr="006D0151">
        <w:rPr>
          <w:rFonts w:ascii="Arial" w:hAnsi="Arial" w:cs="Arial"/>
          <w:sz w:val="24"/>
          <w:szCs w:val="24"/>
        </w:rPr>
        <w:t xml:space="preserve">enrolled </w:t>
      </w:r>
      <w:r w:rsidR="008B017C" w:rsidRPr="006D0151">
        <w:rPr>
          <w:rFonts w:ascii="Arial" w:hAnsi="Arial" w:cs="Arial"/>
          <w:sz w:val="24"/>
          <w:szCs w:val="24"/>
        </w:rPr>
        <w:t xml:space="preserve">students, rather than offered to the general public. </w:t>
      </w:r>
    </w:p>
    <w:p w14:paraId="18CE7E35" w14:textId="601A57AF" w:rsidR="008B017C" w:rsidRPr="006D0151" w:rsidRDefault="008B017C" w:rsidP="008B017C">
      <w:pPr>
        <w:spacing w:after="0" w:line="240" w:lineRule="auto"/>
        <w:rPr>
          <w:rFonts w:ascii="Arial" w:hAnsi="Arial" w:cs="Arial"/>
          <w:sz w:val="24"/>
          <w:szCs w:val="24"/>
        </w:rPr>
      </w:pPr>
    </w:p>
    <w:p w14:paraId="44CC7C1D" w14:textId="68D9EB28" w:rsidR="0013775A" w:rsidRPr="006D0151" w:rsidRDefault="008B017C" w:rsidP="00DB2B2F">
      <w:pPr>
        <w:spacing w:after="0" w:line="240" w:lineRule="auto"/>
        <w:rPr>
          <w:rFonts w:ascii="Arial" w:hAnsi="Arial" w:cs="Arial"/>
          <w:sz w:val="24"/>
          <w:szCs w:val="24"/>
        </w:rPr>
      </w:pPr>
      <w:r w:rsidRPr="006D0151">
        <w:rPr>
          <w:rFonts w:ascii="Arial" w:hAnsi="Arial" w:cs="Arial"/>
          <w:sz w:val="24"/>
          <w:szCs w:val="24"/>
        </w:rPr>
        <w:t xml:space="preserve">We believe that in the vast majority of cases this distinction will be plainly evident from the underlying contracts.  In affinity agreements, the contract typically covers the use of </w:t>
      </w:r>
      <w:r w:rsidRPr="006D0151">
        <w:rPr>
          <w:rFonts w:ascii="Arial" w:hAnsi="Arial" w:cs="Arial"/>
          <w:sz w:val="24"/>
          <w:szCs w:val="24"/>
        </w:rPr>
        <w:lastRenderedPageBreak/>
        <w:t>the intellectual property, whereas in cases where there is a more comprehensive cobranding marketing contract, bonuses or  incentive payments may compel an institution to take actions to sign up a certain number of account</w:t>
      </w:r>
      <w:r w:rsidR="003D6556" w:rsidRPr="006D0151">
        <w:rPr>
          <w:rFonts w:ascii="Arial" w:hAnsi="Arial" w:cs="Arial"/>
          <w:sz w:val="24"/>
          <w:szCs w:val="24"/>
        </w:rPr>
        <w:t xml:space="preserve"> </w:t>
      </w:r>
      <w:r w:rsidRPr="006D0151">
        <w:rPr>
          <w:rFonts w:ascii="Arial" w:hAnsi="Arial" w:cs="Arial"/>
          <w:sz w:val="24"/>
          <w:szCs w:val="24"/>
        </w:rPr>
        <w:t>holders.  We also note, that</w:t>
      </w:r>
      <w:r w:rsidR="00103A89" w:rsidRPr="006D0151">
        <w:rPr>
          <w:rFonts w:ascii="Arial" w:hAnsi="Arial" w:cs="Arial"/>
          <w:sz w:val="24"/>
          <w:szCs w:val="24"/>
        </w:rPr>
        <w:t xml:space="preserve"> just using</w:t>
      </w:r>
      <w:r w:rsidRPr="006D0151">
        <w:rPr>
          <w:rFonts w:ascii="Arial" w:hAnsi="Arial" w:cs="Arial"/>
          <w:sz w:val="24"/>
          <w:szCs w:val="24"/>
        </w:rPr>
        <w:t xml:space="preserve"> the term “affinity agreement</w:t>
      </w:r>
      <w:r w:rsidR="00103A89" w:rsidRPr="006D0151">
        <w:rPr>
          <w:rFonts w:ascii="Arial" w:hAnsi="Arial" w:cs="Arial"/>
          <w:sz w:val="24"/>
          <w:szCs w:val="24"/>
        </w:rPr>
        <w:t>,</w:t>
      </w:r>
      <w:r w:rsidRPr="006D0151">
        <w:rPr>
          <w:rFonts w:ascii="Arial" w:hAnsi="Arial" w:cs="Arial"/>
          <w:sz w:val="24"/>
          <w:szCs w:val="24"/>
        </w:rPr>
        <w:t>” or attempt</w:t>
      </w:r>
      <w:r w:rsidR="00103A89" w:rsidRPr="006D0151">
        <w:rPr>
          <w:rFonts w:ascii="Arial" w:hAnsi="Arial" w:cs="Arial"/>
          <w:sz w:val="24"/>
          <w:szCs w:val="24"/>
        </w:rPr>
        <w:t>ing</w:t>
      </w:r>
      <w:r w:rsidRPr="006D0151">
        <w:rPr>
          <w:rFonts w:ascii="Arial" w:hAnsi="Arial" w:cs="Arial"/>
          <w:sz w:val="24"/>
          <w:szCs w:val="24"/>
        </w:rPr>
        <w:t xml:space="preserve"> to obfuscate the true nature of the contract</w:t>
      </w:r>
      <w:r w:rsidR="00103A89" w:rsidRPr="006D0151">
        <w:rPr>
          <w:rFonts w:ascii="Arial" w:hAnsi="Arial" w:cs="Arial"/>
          <w:sz w:val="24"/>
          <w:szCs w:val="24"/>
        </w:rPr>
        <w:t>,</w:t>
      </w:r>
      <w:r w:rsidRPr="006D0151">
        <w:rPr>
          <w:rFonts w:ascii="Arial" w:hAnsi="Arial" w:cs="Arial"/>
          <w:sz w:val="24"/>
          <w:szCs w:val="24"/>
        </w:rPr>
        <w:t xml:space="preserve"> will not </w:t>
      </w:r>
      <w:r w:rsidR="00B65972" w:rsidRPr="006D0151">
        <w:rPr>
          <w:rFonts w:ascii="Arial" w:hAnsi="Arial" w:cs="Arial"/>
          <w:sz w:val="24"/>
          <w:szCs w:val="24"/>
        </w:rPr>
        <w:t>exempt the arrangement under the regulations</w:t>
      </w:r>
      <w:r w:rsidRPr="006D0151">
        <w:rPr>
          <w:rFonts w:ascii="Arial" w:hAnsi="Arial" w:cs="Arial"/>
          <w:sz w:val="24"/>
          <w:szCs w:val="24"/>
        </w:rPr>
        <w:t xml:space="preserve">. </w:t>
      </w:r>
      <w:r w:rsidR="00E3153D" w:rsidRPr="006D0151">
        <w:rPr>
          <w:rFonts w:ascii="Arial" w:hAnsi="Arial" w:cs="Arial"/>
          <w:sz w:val="24"/>
          <w:szCs w:val="24"/>
        </w:rPr>
        <w:t xml:space="preserve"> </w:t>
      </w:r>
      <w:r w:rsidRPr="006D0151">
        <w:rPr>
          <w:rFonts w:ascii="Arial" w:hAnsi="Arial" w:cs="Arial"/>
          <w:sz w:val="24"/>
          <w:szCs w:val="24"/>
        </w:rPr>
        <w:t xml:space="preserve">Only in cases where the agreement between the institution and </w:t>
      </w:r>
      <w:r w:rsidR="00AE555E">
        <w:rPr>
          <w:rFonts w:ascii="Arial" w:hAnsi="Arial" w:cs="Arial"/>
          <w:sz w:val="24"/>
          <w:szCs w:val="24"/>
        </w:rPr>
        <w:t xml:space="preserve">the </w:t>
      </w:r>
      <w:r w:rsidRPr="006D0151">
        <w:rPr>
          <w:rFonts w:ascii="Arial" w:hAnsi="Arial" w:cs="Arial"/>
          <w:sz w:val="24"/>
          <w:szCs w:val="24"/>
        </w:rPr>
        <w:t xml:space="preserve">financial account provider provides for the use of the institution’s intellectual property to market a card for use by the general public, rather </w:t>
      </w:r>
      <w:r w:rsidR="00E143C5" w:rsidRPr="006D0151">
        <w:rPr>
          <w:rFonts w:ascii="Arial" w:hAnsi="Arial" w:cs="Arial"/>
          <w:sz w:val="24"/>
          <w:szCs w:val="24"/>
        </w:rPr>
        <w:t xml:space="preserve">than </w:t>
      </w:r>
      <w:r w:rsidR="00561673" w:rsidRPr="006D0151">
        <w:rPr>
          <w:rFonts w:ascii="Arial" w:hAnsi="Arial" w:cs="Arial"/>
          <w:sz w:val="24"/>
          <w:szCs w:val="24"/>
        </w:rPr>
        <w:t xml:space="preserve">focusing principally on marketing to </w:t>
      </w:r>
      <w:r w:rsidRPr="006D0151">
        <w:rPr>
          <w:rFonts w:ascii="Arial" w:hAnsi="Arial" w:cs="Arial"/>
          <w:sz w:val="24"/>
          <w:szCs w:val="24"/>
        </w:rPr>
        <w:t xml:space="preserve">the institution’s enrolled students, do the regulations provide </w:t>
      </w:r>
      <w:r w:rsidR="00996F88" w:rsidRPr="006D0151">
        <w:rPr>
          <w:rFonts w:ascii="Arial" w:hAnsi="Arial" w:cs="Arial"/>
          <w:sz w:val="24"/>
          <w:szCs w:val="24"/>
        </w:rPr>
        <w:t xml:space="preserve">that </w:t>
      </w:r>
      <w:r w:rsidRPr="006D0151">
        <w:rPr>
          <w:rFonts w:ascii="Arial" w:hAnsi="Arial" w:cs="Arial"/>
          <w:sz w:val="24"/>
          <w:szCs w:val="24"/>
        </w:rPr>
        <w:t>such endorsement does not constitute direct marketing for purposes of the T2 arrangement definition.</w:t>
      </w:r>
      <w:r w:rsidR="00F06A21">
        <w:rPr>
          <w:rFonts w:ascii="Arial" w:hAnsi="Arial" w:cs="Arial"/>
          <w:sz w:val="24"/>
          <w:szCs w:val="24"/>
        </w:rPr>
        <w:t xml:space="preserve"> </w:t>
      </w:r>
      <w:r w:rsidR="00F06A21" w:rsidRPr="00F06A21">
        <w:rPr>
          <w:rFonts w:ascii="Arial" w:hAnsi="Arial" w:cs="Arial"/>
          <w:sz w:val="24"/>
          <w:szCs w:val="24"/>
        </w:rPr>
        <w:t>[Guidance issued 5/</w:t>
      </w:r>
      <w:r w:rsidR="00DB1AEF">
        <w:rPr>
          <w:rFonts w:ascii="Arial" w:hAnsi="Arial" w:cs="Arial"/>
          <w:sz w:val="24"/>
          <w:szCs w:val="24"/>
        </w:rPr>
        <w:t>12</w:t>
      </w:r>
      <w:r w:rsidR="00F06A21" w:rsidRPr="00F06A21">
        <w:rPr>
          <w:rFonts w:ascii="Arial" w:hAnsi="Arial" w:cs="Arial"/>
          <w:sz w:val="24"/>
          <w:szCs w:val="24"/>
        </w:rPr>
        <w:t>/2016]</w:t>
      </w:r>
    </w:p>
    <w:p w14:paraId="6DEBD2AE" w14:textId="77777777" w:rsidR="00DB2B2F" w:rsidRPr="006D0151" w:rsidRDefault="00DB2B2F" w:rsidP="00DB2B2F">
      <w:pPr>
        <w:spacing w:after="0" w:line="240" w:lineRule="auto"/>
        <w:rPr>
          <w:rFonts w:ascii="Arial" w:hAnsi="Arial" w:cs="Arial"/>
          <w:sz w:val="24"/>
          <w:szCs w:val="24"/>
          <w:u w:val="single"/>
        </w:rPr>
      </w:pPr>
    </w:p>
    <w:p w14:paraId="7915012D" w14:textId="69D29CE8" w:rsidR="008A372F" w:rsidRPr="006D0151" w:rsidRDefault="00996F88" w:rsidP="00DB2B2F">
      <w:pPr>
        <w:spacing w:after="0" w:line="240" w:lineRule="auto"/>
        <w:rPr>
          <w:rFonts w:ascii="Arial" w:hAnsi="Arial" w:cs="Arial"/>
          <w:sz w:val="24"/>
          <w:szCs w:val="24"/>
        </w:rPr>
      </w:pPr>
      <w:r w:rsidRPr="006D0151">
        <w:rPr>
          <w:rFonts w:ascii="Arial" w:hAnsi="Arial" w:cs="Arial"/>
          <w:sz w:val="24"/>
          <w:szCs w:val="24"/>
          <w:u w:val="single"/>
        </w:rPr>
        <w:t>TA Q</w:t>
      </w:r>
      <w:r w:rsidR="0071480A" w:rsidRPr="006D0151">
        <w:rPr>
          <w:rFonts w:ascii="Arial" w:hAnsi="Arial" w:cs="Arial"/>
          <w:sz w:val="24"/>
          <w:szCs w:val="24"/>
          <w:u w:val="single"/>
        </w:rPr>
        <w:t>6</w:t>
      </w:r>
      <w:r w:rsidRPr="006D0151">
        <w:rPr>
          <w:rFonts w:ascii="Arial" w:hAnsi="Arial" w:cs="Arial"/>
          <w:sz w:val="24"/>
          <w:szCs w:val="24"/>
          <w:u w:val="single"/>
        </w:rPr>
        <w:t xml:space="preserve">: </w:t>
      </w:r>
      <w:r w:rsidR="008A372F" w:rsidRPr="006D0151">
        <w:rPr>
          <w:rFonts w:ascii="Arial" w:hAnsi="Arial" w:cs="Arial"/>
          <w:sz w:val="24"/>
          <w:szCs w:val="24"/>
          <w:u w:val="single"/>
        </w:rPr>
        <w:t>What are some examples of relationships that would not fall under the new regulations?</w:t>
      </w:r>
    </w:p>
    <w:p w14:paraId="57E177B8" w14:textId="77777777" w:rsidR="0013775A" w:rsidRPr="006D0151" w:rsidRDefault="0013775A" w:rsidP="00DB2B2F">
      <w:pPr>
        <w:spacing w:after="0" w:line="240" w:lineRule="auto"/>
        <w:rPr>
          <w:rFonts w:ascii="Arial" w:hAnsi="Arial" w:cs="Arial"/>
          <w:sz w:val="24"/>
          <w:szCs w:val="24"/>
          <w:u w:val="single"/>
        </w:rPr>
      </w:pPr>
    </w:p>
    <w:p w14:paraId="7915012E" w14:textId="4D6186B6" w:rsidR="008A372F" w:rsidRPr="006D0151" w:rsidRDefault="00996F88" w:rsidP="00DB2B2F">
      <w:pPr>
        <w:spacing w:after="0" w:line="240" w:lineRule="auto"/>
        <w:rPr>
          <w:rFonts w:ascii="Arial" w:hAnsi="Arial" w:cs="Arial"/>
          <w:sz w:val="24"/>
          <w:szCs w:val="24"/>
        </w:rPr>
      </w:pPr>
      <w:r w:rsidRPr="006D0151">
        <w:rPr>
          <w:rFonts w:ascii="Arial" w:hAnsi="Arial" w:cs="Arial"/>
          <w:sz w:val="24"/>
          <w:szCs w:val="24"/>
        </w:rPr>
        <w:t>TA A</w:t>
      </w:r>
      <w:r w:rsidR="0071480A" w:rsidRPr="006D0151">
        <w:rPr>
          <w:rFonts w:ascii="Arial" w:hAnsi="Arial" w:cs="Arial"/>
          <w:sz w:val="24"/>
          <w:szCs w:val="24"/>
        </w:rPr>
        <w:t>6</w:t>
      </w:r>
      <w:r w:rsidRPr="006D0151">
        <w:rPr>
          <w:rFonts w:ascii="Arial" w:hAnsi="Arial" w:cs="Arial"/>
          <w:sz w:val="24"/>
          <w:szCs w:val="24"/>
        </w:rPr>
        <w:t xml:space="preserve">: </w:t>
      </w:r>
      <w:r w:rsidR="00561673" w:rsidRPr="006D0151">
        <w:rPr>
          <w:rFonts w:ascii="Arial" w:hAnsi="Arial" w:cs="Arial"/>
          <w:sz w:val="24"/>
          <w:szCs w:val="24"/>
        </w:rPr>
        <w:t>Generally speaking, a</w:t>
      </w:r>
      <w:r w:rsidR="00E40B27" w:rsidRPr="006D0151">
        <w:rPr>
          <w:rFonts w:ascii="Arial" w:hAnsi="Arial" w:cs="Arial"/>
          <w:sz w:val="24"/>
          <w:szCs w:val="24"/>
        </w:rPr>
        <w:t xml:space="preserve">ccounts offered under </w:t>
      </w:r>
      <w:r w:rsidR="00561673" w:rsidRPr="006D0151">
        <w:rPr>
          <w:rFonts w:ascii="Arial" w:hAnsi="Arial" w:cs="Arial"/>
          <w:sz w:val="24"/>
          <w:szCs w:val="24"/>
        </w:rPr>
        <w:t>a</w:t>
      </w:r>
      <w:r w:rsidR="00E40B27" w:rsidRPr="006D0151">
        <w:rPr>
          <w:rFonts w:ascii="Arial" w:hAnsi="Arial" w:cs="Arial"/>
          <w:sz w:val="24"/>
          <w:szCs w:val="24"/>
        </w:rPr>
        <w:t xml:space="preserve"> contract with third-party servicers</w:t>
      </w:r>
      <w:r w:rsidR="00E143C5" w:rsidRPr="006D0151">
        <w:rPr>
          <w:rFonts w:ascii="Arial" w:hAnsi="Arial" w:cs="Arial"/>
          <w:sz w:val="24"/>
          <w:szCs w:val="24"/>
        </w:rPr>
        <w:t>,</w:t>
      </w:r>
      <w:r w:rsidR="00E40B27" w:rsidRPr="006D0151">
        <w:rPr>
          <w:rFonts w:ascii="Arial" w:hAnsi="Arial" w:cs="Arial"/>
          <w:sz w:val="24"/>
          <w:szCs w:val="24"/>
        </w:rPr>
        <w:t xml:space="preserve"> or marketed by third-party servicers, their agents, or the institution on behalf of the third-party servicer, are T1 arrangements.  Accounts offered by </w:t>
      </w:r>
      <w:r w:rsidR="0019300F" w:rsidRPr="006D0151">
        <w:rPr>
          <w:rFonts w:ascii="Arial" w:hAnsi="Arial" w:cs="Arial"/>
          <w:sz w:val="24"/>
          <w:szCs w:val="24"/>
        </w:rPr>
        <w:t xml:space="preserve">entities that are not </w:t>
      </w:r>
      <w:r w:rsidR="00E40B27" w:rsidRPr="006D0151">
        <w:rPr>
          <w:rFonts w:ascii="Arial" w:hAnsi="Arial" w:cs="Arial"/>
          <w:sz w:val="24"/>
          <w:szCs w:val="24"/>
        </w:rPr>
        <w:t xml:space="preserve">third-party servicers </w:t>
      </w:r>
      <w:r w:rsidR="0019300F" w:rsidRPr="006D0151">
        <w:rPr>
          <w:rFonts w:ascii="Arial" w:hAnsi="Arial" w:cs="Arial"/>
          <w:sz w:val="24"/>
          <w:szCs w:val="24"/>
        </w:rPr>
        <w:t>or their agents, affiliates</w:t>
      </w:r>
      <w:r w:rsidR="00BA4FD2" w:rsidRPr="006D0151">
        <w:rPr>
          <w:rFonts w:ascii="Arial" w:hAnsi="Arial" w:cs="Arial"/>
          <w:sz w:val="24"/>
          <w:szCs w:val="24"/>
        </w:rPr>
        <w:t>,</w:t>
      </w:r>
      <w:r w:rsidR="0019300F" w:rsidRPr="006D0151">
        <w:rPr>
          <w:rFonts w:ascii="Arial" w:hAnsi="Arial" w:cs="Arial"/>
          <w:sz w:val="24"/>
          <w:szCs w:val="24"/>
        </w:rPr>
        <w:t xml:space="preserve"> or contractors </w:t>
      </w:r>
      <w:r w:rsidR="0012424C" w:rsidRPr="006D0151">
        <w:rPr>
          <w:rFonts w:ascii="Arial" w:hAnsi="Arial" w:cs="Arial"/>
          <w:sz w:val="24"/>
          <w:szCs w:val="24"/>
        </w:rPr>
        <w:t>but</w:t>
      </w:r>
      <w:r w:rsidR="00E40B27" w:rsidRPr="006D0151">
        <w:rPr>
          <w:rFonts w:ascii="Arial" w:hAnsi="Arial" w:cs="Arial"/>
          <w:sz w:val="24"/>
          <w:szCs w:val="24"/>
        </w:rPr>
        <w:t xml:space="preserve"> </w:t>
      </w:r>
      <w:r w:rsidR="0019300F" w:rsidRPr="006D0151">
        <w:rPr>
          <w:rFonts w:ascii="Arial" w:hAnsi="Arial" w:cs="Arial"/>
          <w:sz w:val="24"/>
          <w:szCs w:val="24"/>
        </w:rPr>
        <w:t xml:space="preserve">are </w:t>
      </w:r>
      <w:r w:rsidR="00E40B27" w:rsidRPr="006D0151">
        <w:rPr>
          <w:rFonts w:ascii="Arial" w:hAnsi="Arial" w:cs="Arial"/>
          <w:sz w:val="24"/>
          <w:szCs w:val="24"/>
        </w:rPr>
        <w:t xml:space="preserve">directly marketed to students (either by the institution, through the use of a student ID, or through a cobranding arrangement) are T2 arrangements.  </w:t>
      </w:r>
      <w:r w:rsidR="0012424C" w:rsidRPr="006D0151">
        <w:rPr>
          <w:rFonts w:ascii="Arial" w:hAnsi="Arial" w:cs="Arial"/>
          <w:sz w:val="24"/>
          <w:szCs w:val="24"/>
        </w:rPr>
        <w:t xml:space="preserve">Other types of </w:t>
      </w:r>
      <w:r w:rsidR="00E40B27" w:rsidRPr="006D0151">
        <w:rPr>
          <w:rFonts w:ascii="Arial" w:hAnsi="Arial" w:cs="Arial"/>
          <w:sz w:val="24"/>
          <w:szCs w:val="24"/>
        </w:rPr>
        <w:t xml:space="preserve">arrangements </w:t>
      </w:r>
      <w:r w:rsidR="0012424C" w:rsidRPr="006D0151">
        <w:rPr>
          <w:rFonts w:ascii="Arial" w:hAnsi="Arial" w:cs="Arial"/>
          <w:sz w:val="24"/>
          <w:szCs w:val="24"/>
        </w:rPr>
        <w:t xml:space="preserve">between an institution </w:t>
      </w:r>
      <w:r w:rsidR="00AA20CA" w:rsidRPr="006D0151">
        <w:rPr>
          <w:rFonts w:ascii="Arial" w:hAnsi="Arial" w:cs="Arial"/>
          <w:sz w:val="24"/>
          <w:szCs w:val="24"/>
        </w:rPr>
        <w:t>of higher education</w:t>
      </w:r>
      <w:r w:rsidR="0012424C" w:rsidRPr="006D0151">
        <w:rPr>
          <w:rFonts w:ascii="Arial" w:hAnsi="Arial" w:cs="Arial"/>
          <w:sz w:val="24"/>
          <w:szCs w:val="24"/>
        </w:rPr>
        <w:t xml:space="preserve"> and a financial institution</w:t>
      </w:r>
      <w:r w:rsidR="00AA20CA" w:rsidRPr="006D0151">
        <w:rPr>
          <w:rFonts w:ascii="Arial" w:hAnsi="Arial" w:cs="Arial"/>
          <w:sz w:val="24"/>
          <w:szCs w:val="24"/>
        </w:rPr>
        <w:t>,</w:t>
      </w:r>
      <w:r w:rsidR="0012424C" w:rsidRPr="006D0151">
        <w:rPr>
          <w:rFonts w:ascii="Arial" w:hAnsi="Arial" w:cs="Arial"/>
          <w:sz w:val="24"/>
          <w:szCs w:val="24"/>
        </w:rPr>
        <w:t xml:space="preserve"> or general information-sharing</w:t>
      </w:r>
      <w:r w:rsidR="00AA20CA" w:rsidRPr="006D0151">
        <w:rPr>
          <w:rFonts w:ascii="Arial" w:hAnsi="Arial" w:cs="Arial"/>
          <w:sz w:val="24"/>
          <w:szCs w:val="24"/>
        </w:rPr>
        <w:t>,</w:t>
      </w:r>
      <w:r w:rsidR="0012424C" w:rsidRPr="006D0151">
        <w:rPr>
          <w:rFonts w:ascii="Arial" w:hAnsi="Arial" w:cs="Arial"/>
          <w:sz w:val="24"/>
          <w:szCs w:val="24"/>
        </w:rPr>
        <w:t xml:space="preserve"> </w:t>
      </w:r>
      <w:r w:rsidR="00E40B27" w:rsidRPr="006D0151">
        <w:rPr>
          <w:rFonts w:ascii="Arial" w:hAnsi="Arial" w:cs="Arial"/>
          <w:sz w:val="24"/>
          <w:szCs w:val="24"/>
        </w:rPr>
        <w:t xml:space="preserve">are not subject to the regulations.  Examples of such </w:t>
      </w:r>
      <w:r w:rsidR="00501A28">
        <w:rPr>
          <w:rFonts w:ascii="Arial" w:hAnsi="Arial" w:cs="Arial"/>
          <w:sz w:val="24"/>
          <w:szCs w:val="24"/>
        </w:rPr>
        <w:t>arrang</w:t>
      </w:r>
      <w:r w:rsidR="00723627">
        <w:rPr>
          <w:rFonts w:ascii="Arial" w:hAnsi="Arial" w:cs="Arial"/>
          <w:sz w:val="24"/>
          <w:szCs w:val="24"/>
        </w:rPr>
        <w:t>e</w:t>
      </w:r>
      <w:r w:rsidR="00501A28">
        <w:rPr>
          <w:rFonts w:ascii="Arial" w:hAnsi="Arial" w:cs="Arial"/>
          <w:sz w:val="24"/>
          <w:szCs w:val="24"/>
        </w:rPr>
        <w:t>ments</w:t>
      </w:r>
      <w:r w:rsidR="00E40B27" w:rsidRPr="006D0151">
        <w:rPr>
          <w:rFonts w:ascii="Arial" w:hAnsi="Arial" w:cs="Arial"/>
          <w:sz w:val="24"/>
          <w:szCs w:val="24"/>
        </w:rPr>
        <w:t xml:space="preserve"> include</w:t>
      </w:r>
      <w:r w:rsidR="00BA4FD2" w:rsidRPr="006D0151">
        <w:rPr>
          <w:rFonts w:ascii="Arial" w:hAnsi="Arial" w:cs="Arial"/>
          <w:sz w:val="24"/>
          <w:szCs w:val="24"/>
        </w:rPr>
        <w:t xml:space="preserve">: </w:t>
      </w:r>
      <w:r w:rsidR="00E40B27" w:rsidRPr="006D0151">
        <w:rPr>
          <w:rFonts w:ascii="Arial" w:hAnsi="Arial" w:cs="Arial"/>
          <w:sz w:val="24"/>
          <w:szCs w:val="24"/>
        </w:rPr>
        <w:t xml:space="preserve"> general marketing agreements (i.e.</w:t>
      </w:r>
      <w:r w:rsidR="00BA4FD2" w:rsidRPr="006D0151">
        <w:rPr>
          <w:rFonts w:ascii="Arial" w:hAnsi="Arial" w:cs="Arial"/>
          <w:sz w:val="24"/>
          <w:szCs w:val="24"/>
        </w:rPr>
        <w:t>,</w:t>
      </w:r>
      <w:r w:rsidR="00E40B27" w:rsidRPr="006D0151">
        <w:rPr>
          <w:rFonts w:ascii="Arial" w:hAnsi="Arial" w:cs="Arial"/>
          <w:sz w:val="24"/>
          <w:szCs w:val="24"/>
        </w:rPr>
        <w:t xml:space="preserve"> no direct marketing) that do not specify the kind of account or how it may be opened, arrangements sponsoring on-campus facilities </w:t>
      </w:r>
      <w:r w:rsidR="00501A28">
        <w:rPr>
          <w:rFonts w:ascii="Arial" w:hAnsi="Arial" w:cs="Arial"/>
          <w:sz w:val="24"/>
          <w:szCs w:val="24"/>
        </w:rPr>
        <w:t xml:space="preserve">or events </w:t>
      </w:r>
      <w:r w:rsidR="00E40B27" w:rsidRPr="006D0151">
        <w:rPr>
          <w:rFonts w:ascii="Arial" w:hAnsi="Arial" w:cs="Arial"/>
          <w:sz w:val="24"/>
          <w:szCs w:val="24"/>
        </w:rPr>
        <w:t>(e.g., stadium or building naming rights</w:t>
      </w:r>
      <w:r w:rsidR="00501A28">
        <w:rPr>
          <w:rFonts w:ascii="Arial" w:hAnsi="Arial" w:cs="Arial"/>
          <w:sz w:val="24"/>
          <w:szCs w:val="24"/>
        </w:rPr>
        <w:t>, sponsored athletic or academic programs</w:t>
      </w:r>
      <w:r w:rsidR="00E40B27" w:rsidRPr="006D0151">
        <w:rPr>
          <w:rFonts w:ascii="Arial" w:hAnsi="Arial" w:cs="Arial"/>
          <w:sz w:val="24"/>
          <w:szCs w:val="24"/>
        </w:rPr>
        <w:t>)</w:t>
      </w:r>
      <w:r w:rsidR="0012424C" w:rsidRPr="006D0151">
        <w:rPr>
          <w:rFonts w:ascii="Arial" w:hAnsi="Arial" w:cs="Arial"/>
          <w:sz w:val="24"/>
          <w:szCs w:val="24"/>
        </w:rPr>
        <w:t xml:space="preserve"> rather than marketing specific financial accounts</w:t>
      </w:r>
      <w:r w:rsidR="00BA4FD2" w:rsidRPr="006D0151">
        <w:rPr>
          <w:rFonts w:ascii="Arial" w:hAnsi="Arial" w:cs="Arial"/>
          <w:sz w:val="24"/>
          <w:szCs w:val="24"/>
        </w:rPr>
        <w:t>;</w:t>
      </w:r>
      <w:r w:rsidR="00E40B27" w:rsidRPr="006D0151">
        <w:rPr>
          <w:rFonts w:ascii="Arial" w:hAnsi="Arial" w:cs="Arial"/>
          <w:sz w:val="24"/>
          <w:szCs w:val="24"/>
        </w:rPr>
        <w:t xml:space="preserve"> lease agreements for on-campus branches or ATMs</w:t>
      </w:r>
      <w:r w:rsidR="0012424C" w:rsidRPr="006D0151">
        <w:rPr>
          <w:rFonts w:ascii="Arial" w:hAnsi="Arial" w:cs="Arial"/>
          <w:sz w:val="24"/>
          <w:szCs w:val="24"/>
        </w:rPr>
        <w:t xml:space="preserve"> that do not include terms for marketing of financial accounts</w:t>
      </w:r>
      <w:r w:rsidR="00BA4FD2" w:rsidRPr="006D0151">
        <w:rPr>
          <w:rFonts w:ascii="Arial" w:hAnsi="Arial" w:cs="Arial"/>
          <w:sz w:val="24"/>
          <w:szCs w:val="24"/>
        </w:rPr>
        <w:t>;</w:t>
      </w:r>
      <w:r w:rsidR="00E40B27" w:rsidRPr="006D0151">
        <w:rPr>
          <w:rFonts w:ascii="Arial" w:hAnsi="Arial" w:cs="Arial"/>
          <w:sz w:val="24"/>
          <w:szCs w:val="24"/>
        </w:rPr>
        <w:t xml:space="preserve"> </w:t>
      </w:r>
      <w:r w:rsidR="00BA4FD2" w:rsidRPr="006D0151">
        <w:rPr>
          <w:rFonts w:ascii="Arial" w:hAnsi="Arial" w:cs="Arial"/>
          <w:sz w:val="24"/>
          <w:szCs w:val="24"/>
        </w:rPr>
        <w:t xml:space="preserve">and </w:t>
      </w:r>
      <w:r w:rsidR="00E40B27" w:rsidRPr="006D0151">
        <w:rPr>
          <w:rFonts w:ascii="Arial" w:hAnsi="Arial" w:cs="Arial"/>
          <w:sz w:val="24"/>
          <w:szCs w:val="24"/>
        </w:rPr>
        <w:t>a</w:t>
      </w:r>
      <w:r w:rsidR="003D1D40" w:rsidRPr="006D0151">
        <w:rPr>
          <w:rFonts w:ascii="Arial" w:hAnsi="Arial" w:cs="Arial"/>
          <w:sz w:val="24"/>
          <w:szCs w:val="24"/>
        </w:rPr>
        <w:t xml:space="preserve"> non-exclusive</w:t>
      </w:r>
      <w:r w:rsidR="00E40B27" w:rsidRPr="006D0151">
        <w:rPr>
          <w:rFonts w:ascii="Arial" w:hAnsi="Arial" w:cs="Arial"/>
          <w:sz w:val="24"/>
          <w:szCs w:val="24"/>
        </w:rPr>
        <w:t xml:space="preserve"> list of area financial institutions </w:t>
      </w:r>
      <w:r w:rsidR="00BA4FD2" w:rsidRPr="006D0151">
        <w:rPr>
          <w:rFonts w:ascii="Arial" w:hAnsi="Arial" w:cs="Arial"/>
          <w:sz w:val="24"/>
          <w:szCs w:val="24"/>
        </w:rPr>
        <w:t xml:space="preserve">provided by </w:t>
      </w:r>
      <w:r w:rsidR="00936CA8">
        <w:rPr>
          <w:rFonts w:ascii="Arial" w:hAnsi="Arial" w:cs="Arial"/>
          <w:sz w:val="24"/>
          <w:szCs w:val="24"/>
        </w:rPr>
        <w:t xml:space="preserve">an institution </w:t>
      </w:r>
      <w:r w:rsidR="00E40B27" w:rsidRPr="006D0151">
        <w:rPr>
          <w:rFonts w:ascii="Arial" w:hAnsi="Arial" w:cs="Arial"/>
          <w:sz w:val="24"/>
          <w:szCs w:val="24"/>
        </w:rPr>
        <w:t>to students solely for informational purposes</w:t>
      </w:r>
      <w:r w:rsidR="0012424C" w:rsidRPr="006D0151">
        <w:rPr>
          <w:rFonts w:ascii="Arial" w:hAnsi="Arial" w:cs="Arial"/>
          <w:sz w:val="24"/>
          <w:szCs w:val="24"/>
        </w:rPr>
        <w:t xml:space="preserve"> without being under any obligation to do so</w:t>
      </w:r>
      <w:r w:rsidR="00E40B27" w:rsidRPr="006D0151">
        <w:rPr>
          <w:rFonts w:ascii="Arial" w:hAnsi="Arial" w:cs="Arial"/>
          <w:sz w:val="24"/>
          <w:szCs w:val="24"/>
        </w:rPr>
        <w:t>.</w:t>
      </w:r>
      <w:r w:rsidR="00F06A21" w:rsidRPr="00F06A21">
        <w:rPr>
          <w:rFonts w:ascii="Arial" w:hAnsi="Arial" w:cs="Arial"/>
          <w:sz w:val="24"/>
          <w:szCs w:val="24"/>
        </w:rPr>
        <w:t xml:space="preserve"> [Guidance issued 5/</w:t>
      </w:r>
      <w:r w:rsidR="00DB1AEF">
        <w:rPr>
          <w:rFonts w:ascii="Arial" w:hAnsi="Arial" w:cs="Arial"/>
          <w:sz w:val="24"/>
          <w:szCs w:val="24"/>
        </w:rPr>
        <w:t>12</w:t>
      </w:r>
      <w:r w:rsidR="00F06A21" w:rsidRPr="00F06A21">
        <w:rPr>
          <w:rFonts w:ascii="Arial" w:hAnsi="Arial" w:cs="Arial"/>
          <w:sz w:val="24"/>
          <w:szCs w:val="24"/>
        </w:rPr>
        <w:t>/2016]</w:t>
      </w:r>
    </w:p>
    <w:p w14:paraId="22E4F4E2" w14:textId="62912FB1" w:rsidR="002B4C12" w:rsidRPr="006D0151" w:rsidRDefault="002B4C12" w:rsidP="00FD61B6">
      <w:pPr>
        <w:spacing w:after="0" w:line="240" w:lineRule="auto"/>
        <w:rPr>
          <w:rFonts w:ascii="Arial" w:hAnsi="Arial" w:cs="Arial"/>
          <w:sz w:val="24"/>
          <w:szCs w:val="24"/>
        </w:rPr>
      </w:pPr>
    </w:p>
    <w:p w14:paraId="0AFDD2A0" w14:textId="5EDDBD1A" w:rsidR="002B4C12" w:rsidRPr="006D0151" w:rsidRDefault="002B4C12" w:rsidP="00DC2F50">
      <w:pPr>
        <w:spacing w:after="0" w:line="240" w:lineRule="auto"/>
        <w:rPr>
          <w:rFonts w:ascii="Arial" w:hAnsi="Arial" w:cs="Arial"/>
          <w:sz w:val="24"/>
          <w:szCs w:val="24"/>
          <w:u w:val="single"/>
        </w:rPr>
      </w:pPr>
      <w:r w:rsidRPr="006D0151">
        <w:rPr>
          <w:rFonts w:ascii="Arial" w:hAnsi="Arial" w:cs="Arial"/>
          <w:sz w:val="24"/>
          <w:szCs w:val="24"/>
          <w:u w:val="single"/>
        </w:rPr>
        <w:t>TA Q</w:t>
      </w:r>
      <w:r w:rsidR="0071480A" w:rsidRPr="006D0151">
        <w:rPr>
          <w:rFonts w:ascii="Arial" w:hAnsi="Arial" w:cs="Arial"/>
          <w:sz w:val="24"/>
          <w:szCs w:val="24"/>
          <w:u w:val="single"/>
        </w:rPr>
        <w:t>7</w:t>
      </w:r>
      <w:r w:rsidRPr="006D0151">
        <w:rPr>
          <w:rFonts w:ascii="Arial" w:hAnsi="Arial" w:cs="Arial"/>
          <w:sz w:val="24"/>
          <w:szCs w:val="24"/>
          <w:u w:val="single"/>
        </w:rPr>
        <w:t xml:space="preserve">: The athletics department has an agreement with a bank to offer bank accounts that can be linked to the student ID card, but the arrangement has nothing to do with </w:t>
      </w:r>
      <w:r w:rsidR="003566E8">
        <w:rPr>
          <w:rFonts w:ascii="Arial" w:hAnsi="Arial" w:cs="Arial"/>
          <w:sz w:val="24"/>
          <w:szCs w:val="24"/>
          <w:u w:val="single"/>
        </w:rPr>
        <w:t xml:space="preserve">Title IV </w:t>
      </w:r>
      <w:r w:rsidRPr="006D0151">
        <w:rPr>
          <w:rFonts w:ascii="Arial" w:hAnsi="Arial" w:cs="Arial"/>
          <w:sz w:val="24"/>
          <w:szCs w:val="24"/>
          <w:u w:val="single"/>
        </w:rPr>
        <w:t xml:space="preserve">credit balance disbursements. Does this still count as a T2 </w:t>
      </w:r>
      <w:r w:rsidR="001833B0" w:rsidRPr="006D0151">
        <w:rPr>
          <w:rFonts w:ascii="Arial" w:hAnsi="Arial" w:cs="Arial"/>
          <w:sz w:val="24"/>
          <w:szCs w:val="24"/>
          <w:u w:val="single"/>
        </w:rPr>
        <w:t>arrangement</w:t>
      </w:r>
      <w:r w:rsidRPr="006D0151">
        <w:rPr>
          <w:rFonts w:ascii="Arial" w:hAnsi="Arial" w:cs="Arial"/>
          <w:sz w:val="24"/>
          <w:szCs w:val="24"/>
          <w:u w:val="single"/>
        </w:rPr>
        <w:t>?</w:t>
      </w:r>
    </w:p>
    <w:p w14:paraId="7FBAAAAD" w14:textId="77777777" w:rsidR="0013775A" w:rsidRPr="006D0151" w:rsidRDefault="0013775A" w:rsidP="00DC2F50">
      <w:pPr>
        <w:spacing w:after="0" w:line="240" w:lineRule="auto"/>
        <w:rPr>
          <w:rFonts w:ascii="Arial" w:hAnsi="Arial" w:cs="Arial"/>
          <w:sz w:val="24"/>
          <w:szCs w:val="24"/>
          <w:u w:val="single"/>
        </w:rPr>
      </w:pPr>
    </w:p>
    <w:p w14:paraId="4EA9491C" w14:textId="279190AE" w:rsidR="002B4C12" w:rsidRPr="006D0151" w:rsidRDefault="002B4C12" w:rsidP="00DC2F50">
      <w:pPr>
        <w:spacing w:after="0" w:line="240" w:lineRule="auto"/>
        <w:rPr>
          <w:rFonts w:ascii="Arial" w:hAnsi="Arial" w:cs="Arial"/>
          <w:sz w:val="24"/>
          <w:szCs w:val="24"/>
          <w:u w:val="single"/>
        </w:rPr>
      </w:pPr>
      <w:r w:rsidRPr="006D0151">
        <w:rPr>
          <w:rFonts w:ascii="Arial" w:hAnsi="Arial" w:cs="Arial"/>
          <w:sz w:val="24"/>
          <w:szCs w:val="24"/>
        </w:rPr>
        <w:t>TA A</w:t>
      </w:r>
      <w:r w:rsidR="0071480A" w:rsidRPr="006D0151">
        <w:rPr>
          <w:rFonts w:ascii="Arial" w:hAnsi="Arial" w:cs="Arial"/>
          <w:sz w:val="24"/>
          <w:szCs w:val="24"/>
        </w:rPr>
        <w:t>7</w:t>
      </w:r>
      <w:r w:rsidRPr="006D0151">
        <w:rPr>
          <w:rFonts w:ascii="Arial" w:hAnsi="Arial" w:cs="Arial"/>
          <w:sz w:val="24"/>
          <w:szCs w:val="24"/>
        </w:rPr>
        <w:t>:</w:t>
      </w:r>
      <w:r w:rsidR="001833B0" w:rsidRPr="006D0151">
        <w:rPr>
          <w:rFonts w:ascii="Arial" w:hAnsi="Arial" w:cs="Arial"/>
          <w:sz w:val="24"/>
          <w:szCs w:val="24"/>
        </w:rPr>
        <w:t xml:space="preserve"> </w:t>
      </w:r>
      <w:r w:rsidR="003566E8">
        <w:rPr>
          <w:rFonts w:ascii="Arial" w:hAnsi="Arial" w:cs="Arial"/>
          <w:sz w:val="24"/>
          <w:szCs w:val="24"/>
        </w:rPr>
        <w:t xml:space="preserve">Yes.  </w:t>
      </w:r>
      <w:r w:rsidR="00C75E9B" w:rsidRPr="006D0151">
        <w:rPr>
          <w:rFonts w:ascii="Arial" w:hAnsi="Arial" w:cs="Arial"/>
          <w:sz w:val="24"/>
          <w:szCs w:val="24"/>
        </w:rPr>
        <w:t>Any account that can be linked to a student ID will be considered, at minimum, to be a</w:t>
      </w:r>
      <w:r w:rsidR="001833B0" w:rsidRPr="006D0151">
        <w:rPr>
          <w:rFonts w:ascii="Arial" w:hAnsi="Arial" w:cs="Arial"/>
          <w:sz w:val="24"/>
          <w:szCs w:val="24"/>
        </w:rPr>
        <w:t>n account under a</w:t>
      </w:r>
      <w:r w:rsidR="00C75E9B" w:rsidRPr="006D0151">
        <w:rPr>
          <w:rFonts w:ascii="Arial" w:hAnsi="Arial" w:cs="Arial"/>
          <w:sz w:val="24"/>
          <w:szCs w:val="24"/>
        </w:rPr>
        <w:t xml:space="preserve"> T2 </w:t>
      </w:r>
      <w:r w:rsidR="001833B0" w:rsidRPr="006D0151">
        <w:rPr>
          <w:rFonts w:ascii="Arial" w:hAnsi="Arial" w:cs="Arial"/>
          <w:sz w:val="24"/>
          <w:szCs w:val="24"/>
        </w:rPr>
        <w:t>arrangement</w:t>
      </w:r>
      <w:r w:rsidR="00C75E9B" w:rsidRPr="006D0151">
        <w:rPr>
          <w:rFonts w:ascii="Arial" w:hAnsi="Arial" w:cs="Arial"/>
          <w:sz w:val="24"/>
          <w:szCs w:val="24"/>
        </w:rPr>
        <w:t>.</w:t>
      </w:r>
      <w:r w:rsidR="00F06A21" w:rsidRPr="00F06A21">
        <w:rPr>
          <w:rFonts w:ascii="Arial" w:hAnsi="Arial" w:cs="Arial"/>
          <w:sz w:val="24"/>
          <w:szCs w:val="24"/>
        </w:rPr>
        <w:t xml:space="preserve"> [Guidance issued 5/</w:t>
      </w:r>
      <w:r w:rsidR="00DB1AEF">
        <w:rPr>
          <w:rFonts w:ascii="Arial" w:hAnsi="Arial" w:cs="Arial"/>
          <w:sz w:val="24"/>
          <w:szCs w:val="24"/>
        </w:rPr>
        <w:t>12</w:t>
      </w:r>
      <w:r w:rsidR="00F06A21" w:rsidRPr="00F06A21">
        <w:rPr>
          <w:rFonts w:ascii="Arial" w:hAnsi="Arial" w:cs="Arial"/>
          <w:sz w:val="24"/>
          <w:szCs w:val="24"/>
        </w:rPr>
        <w:t>/2016]</w:t>
      </w:r>
    </w:p>
    <w:p w14:paraId="264BCAE3" w14:textId="77777777" w:rsidR="00996F88" w:rsidRPr="006D0151" w:rsidRDefault="00996F88" w:rsidP="00FD61B6">
      <w:pPr>
        <w:spacing w:after="0" w:line="240" w:lineRule="auto"/>
        <w:rPr>
          <w:rFonts w:ascii="Arial" w:hAnsi="Arial" w:cs="Arial"/>
          <w:sz w:val="24"/>
          <w:szCs w:val="24"/>
          <w:u w:val="single"/>
        </w:rPr>
      </w:pPr>
    </w:p>
    <w:p w14:paraId="57B4F15C" w14:textId="410DE24A" w:rsidR="00256D7A" w:rsidRPr="006D0151" w:rsidRDefault="00996F88" w:rsidP="00256D7A">
      <w:pPr>
        <w:spacing w:after="0" w:line="240" w:lineRule="auto"/>
        <w:rPr>
          <w:rFonts w:ascii="Arial" w:hAnsi="Arial" w:cs="Arial"/>
          <w:sz w:val="24"/>
          <w:szCs w:val="24"/>
          <w:u w:val="single"/>
        </w:rPr>
      </w:pPr>
      <w:r w:rsidRPr="006D0151">
        <w:rPr>
          <w:rFonts w:ascii="Arial" w:hAnsi="Arial" w:cs="Arial"/>
          <w:sz w:val="24"/>
          <w:szCs w:val="24"/>
          <w:u w:val="single"/>
        </w:rPr>
        <w:t>TA Q</w:t>
      </w:r>
      <w:r w:rsidR="0071480A" w:rsidRPr="006D0151">
        <w:rPr>
          <w:rFonts w:ascii="Arial" w:hAnsi="Arial" w:cs="Arial"/>
          <w:sz w:val="24"/>
          <w:szCs w:val="24"/>
          <w:u w:val="single"/>
        </w:rPr>
        <w:t>8</w:t>
      </w:r>
      <w:r w:rsidRPr="006D0151">
        <w:rPr>
          <w:rFonts w:ascii="Arial" w:hAnsi="Arial" w:cs="Arial"/>
          <w:sz w:val="24"/>
          <w:szCs w:val="24"/>
          <w:u w:val="single"/>
        </w:rPr>
        <w:t xml:space="preserve">: </w:t>
      </w:r>
      <w:r w:rsidR="00256D7A" w:rsidRPr="006D0151">
        <w:rPr>
          <w:rFonts w:ascii="Arial" w:hAnsi="Arial" w:cs="Arial"/>
          <w:sz w:val="24"/>
          <w:szCs w:val="24"/>
          <w:u w:val="single"/>
        </w:rPr>
        <w:t xml:space="preserve">Are there requirements </w:t>
      </w:r>
      <w:r w:rsidR="0019300F" w:rsidRPr="006D0151">
        <w:rPr>
          <w:rFonts w:ascii="Arial" w:hAnsi="Arial" w:cs="Arial"/>
          <w:sz w:val="24"/>
          <w:szCs w:val="24"/>
          <w:u w:val="single"/>
        </w:rPr>
        <w:t xml:space="preserve">regarding </w:t>
      </w:r>
      <w:r w:rsidR="003566E8">
        <w:rPr>
          <w:rFonts w:ascii="Arial" w:hAnsi="Arial" w:cs="Arial"/>
          <w:sz w:val="24"/>
          <w:szCs w:val="24"/>
          <w:u w:val="single"/>
        </w:rPr>
        <w:t xml:space="preserve">an institution’s </w:t>
      </w:r>
      <w:r w:rsidR="0019300F" w:rsidRPr="006D0151">
        <w:rPr>
          <w:rFonts w:ascii="Arial" w:hAnsi="Arial" w:cs="Arial"/>
          <w:sz w:val="24"/>
          <w:szCs w:val="24"/>
          <w:u w:val="single"/>
        </w:rPr>
        <w:t xml:space="preserve">negotiation of </w:t>
      </w:r>
      <w:r w:rsidR="00256D7A" w:rsidRPr="006D0151">
        <w:rPr>
          <w:rFonts w:ascii="Arial" w:hAnsi="Arial" w:cs="Arial"/>
          <w:sz w:val="24"/>
          <w:szCs w:val="24"/>
          <w:u w:val="single"/>
        </w:rPr>
        <w:t>T1 and T2 arrangements?</w:t>
      </w:r>
    </w:p>
    <w:p w14:paraId="3732B113" w14:textId="77777777" w:rsidR="0013775A" w:rsidRPr="006D0151" w:rsidRDefault="0013775A" w:rsidP="00256D7A">
      <w:pPr>
        <w:spacing w:after="0" w:line="240" w:lineRule="auto"/>
        <w:rPr>
          <w:rFonts w:ascii="Arial" w:hAnsi="Arial" w:cs="Arial"/>
          <w:sz w:val="24"/>
          <w:szCs w:val="24"/>
        </w:rPr>
      </w:pPr>
    </w:p>
    <w:p w14:paraId="539C4E3B" w14:textId="34D051DE" w:rsidR="00CD26CC" w:rsidRPr="006D0151" w:rsidRDefault="00996F88" w:rsidP="00996F88">
      <w:pPr>
        <w:spacing w:after="0" w:line="240" w:lineRule="auto"/>
        <w:rPr>
          <w:rFonts w:ascii="Arial" w:hAnsi="Arial" w:cs="Arial"/>
          <w:sz w:val="24"/>
          <w:szCs w:val="24"/>
        </w:rPr>
      </w:pPr>
      <w:r w:rsidRPr="006D0151">
        <w:rPr>
          <w:rFonts w:ascii="Arial" w:hAnsi="Arial" w:cs="Arial"/>
          <w:sz w:val="24"/>
          <w:szCs w:val="24"/>
        </w:rPr>
        <w:t>TA A</w:t>
      </w:r>
      <w:r w:rsidR="0071480A" w:rsidRPr="006D0151">
        <w:rPr>
          <w:rFonts w:ascii="Arial" w:hAnsi="Arial" w:cs="Arial"/>
          <w:sz w:val="24"/>
          <w:szCs w:val="24"/>
        </w:rPr>
        <w:t>8</w:t>
      </w:r>
      <w:r w:rsidRPr="006D0151">
        <w:rPr>
          <w:rFonts w:ascii="Arial" w:hAnsi="Arial" w:cs="Arial"/>
          <w:sz w:val="24"/>
          <w:szCs w:val="24"/>
        </w:rPr>
        <w:t xml:space="preserve">: </w:t>
      </w:r>
      <w:r w:rsidR="00256D7A" w:rsidRPr="006D0151">
        <w:rPr>
          <w:rFonts w:ascii="Arial" w:hAnsi="Arial" w:cs="Arial"/>
          <w:sz w:val="24"/>
          <w:szCs w:val="24"/>
        </w:rPr>
        <w:t xml:space="preserve">Institutions that have </w:t>
      </w:r>
      <w:r w:rsidR="0071480A" w:rsidRPr="006D0151">
        <w:rPr>
          <w:rFonts w:ascii="Arial" w:hAnsi="Arial" w:cs="Arial"/>
          <w:sz w:val="24"/>
          <w:szCs w:val="24"/>
        </w:rPr>
        <w:t xml:space="preserve">a </w:t>
      </w:r>
      <w:r w:rsidR="00256D7A" w:rsidRPr="006D0151">
        <w:rPr>
          <w:rFonts w:ascii="Arial" w:hAnsi="Arial" w:cs="Arial"/>
          <w:sz w:val="24"/>
          <w:szCs w:val="24"/>
        </w:rPr>
        <w:t xml:space="preserve">T1 </w:t>
      </w:r>
      <w:r w:rsidR="0071480A" w:rsidRPr="006D0151">
        <w:rPr>
          <w:rFonts w:ascii="Arial" w:hAnsi="Arial" w:cs="Arial"/>
          <w:sz w:val="24"/>
          <w:szCs w:val="24"/>
        </w:rPr>
        <w:t xml:space="preserve">arrangement </w:t>
      </w:r>
      <w:r w:rsidR="00256D7A" w:rsidRPr="006D0151">
        <w:rPr>
          <w:rFonts w:ascii="Arial" w:hAnsi="Arial" w:cs="Arial"/>
          <w:sz w:val="24"/>
          <w:szCs w:val="24"/>
        </w:rPr>
        <w:t xml:space="preserve">or </w:t>
      </w:r>
      <w:r w:rsidR="0071480A" w:rsidRPr="006D0151">
        <w:rPr>
          <w:rFonts w:ascii="Arial" w:hAnsi="Arial" w:cs="Arial"/>
          <w:sz w:val="24"/>
          <w:szCs w:val="24"/>
        </w:rPr>
        <w:t>a T2 arrangement</w:t>
      </w:r>
      <w:r w:rsidR="00256D7A" w:rsidRPr="006D0151">
        <w:rPr>
          <w:rFonts w:ascii="Arial" w:hAnsi="Arial" w:cs="Arial"/>
          <w:sz w:val="24"/>
          <w:szCs w:val="24"/>
        </w:rPr>
        <w:t xml:space="preserve"> </w:t>
      </w:r>
      <w:r w:rsidR="0071480A" w:rsidRPr="006D0151">
        <w:rPr>
          <w:rFonts w:ascii="Arial" w:hAnsi="Arial" w:cs="Arial"/>
          <w:sz w:val="24"/>
          <w:szCs w:val="24"/>
        </w:rPr>
        <w:t xml:space="preserve">that </w:t>
      </w:r>
      <w:r w:rsidR="00774284" w:rsidRPr="006D0151">
        <w:rPr>
          <w:rFonts w:ascii="Arial" w:hAnsi="Arial" w:cs="Arial"/>
          <w:sz w:val="24"/>
          <w:szCs w:val="24"/>
        </w:rPr>
        <w:t>meet</w:t>
      </w:r>
      <w:r w:rsidR="0071480A" w:rsidRPr="006D0151">
        <w:rPr>
          <w:rFonts w:ascii="Arial" w:hAnsi="Arial" w:cs="Arial"/>
          <w:sz w:val="24"/>
          <w:szCs w:val="24"/>
        </w:rPr>
        <w:t>s</w:t>
      </w:r>
      <w:r w:rsidR="00774284" w:rsidRPr="006D0151">
        <w:rPr>
          <w:rFonts w:ascii="Arial" w:hAnsi="Arial" w:cs="Arial"/>
          <w:sz w:val="24"/>
          <w:szCs w:val="24"/>
        </w:rPr>
        <w:t xml:space="preserve"> the applicable credit balance </w:t>
      </w:r>
      <w:r w:rsidR="0071480A" w:rsidRPr="006D0151">
        <w:rPr>
          <w:rFonts w:ascii="Arial" w:hAnsi="Arial" w:cs="Arial"/>
          <w:sz w:val="24"/>
          <w:szCs w:val="24"/>
        </w:rPr>
        <w:t xml:space="preserve">recipient thresholds </w:t>
      </w:r>
      <w:r w:rsidR="00256D7A" w:rsidRPr="006D0151">
        <w:rPr>
          <w:rFonts w:ascii="Arial" w:hAnsi="Arial" w:cs="Arial"/>
          <w:sz w:val="24"/>
          <w:szCs w:val="24"/>
        </w:rPr>
        <w:t xml:space="preserve">will have to establish and evaluate the contracts governing those arrangements in light of the best financial interests of students as </w:t>
      </w:r>
      <w:r w:rsidR="00CB125C">
        <w:rPr>
          <w:rFonts w:ascii="Arial" w:hAnsi="Arial" w:cs="Arial"/>
          <w:sz w:val="24"/>
          <w:szCs w:val="24"/>
        </w:rPr>
        <w:t>discussed</w:t>
      </w:r>
      <w:r w:rsidR="00256D7A" w:rsidRPr="006D0151">
        <w:rPr>
          <w:rFonts w:ascii="Arial" w:hAnsi="Arial" w:cs="Arial"/>
          <w:sz w:val="24"/>
          <w:szCs w:val="24"/>
        </w:rPr>
        <w:t xml:space="preserve"> in the regulations.</w:t>
      </w:r>
      <w:r w:rsidR="00B46BF7" w:rsidRPr="006D0151">
        <w:rPr>
          <w:rFonts w:ascii="Arial" w:hAnsi="Arial" w:cs="Arial"/>
          <w:sz w:val="24"/>
          <w:szCs w:val="24"/>
        </w:rPr>
        <w:t xml:space="preserve"> </w:t>
      </w:r>
      <w:r w:rsidR="00256D7A" w:rsidRPr="006D0151">
        <w:rPr>
          <w:rFonts w:ascii="Arial" w:hAnsi="Arial" w:cs="Arial"/>
          <w:sz w:val="24"/>
          <w:szCs w:val="24"/>
        </w:rPr>
        <w:t>This means</w:t>
      </w:r>
      <w:r w:rsidR="00B46BF7" w:rsidRPr="006D0151">
        <w:rPr>
          <w:rFonts w:ascii="Arial" w:hAnsi="Arial" w:cs="Arial"/>
          <w:sz w:val="24"/>
          <w:szCs w:val="24"/>
        </w:rPr>
        <w:t xml:space="preserve"> that</w:t>
      </w:r>
      <w:r w:rsidR="00256D7A" w:rsidRPr="006D0151">
        <w:rPr>
          <w:rFonts w:ascii="Arial" w:hAnsi="Arial" w:cs="Arial"/>
          <w:sz w:val="24"/>
          <w:szCs w:val="24"/>
        </w:rPr>
        <w:t xml:space="preserve"> </w:t>
      </w:r>
      <w:r w:rsidR="00B46BF7" w:rsidRPr="006D0151">
        <w:rPr>
          <w:rFonts w:ascii="Arial" w:hAnsi="Arial" w:cs="Arial"/>
          <w:sz w:val="24"/>
          <w:szCs w:val="24"/>
        </w:rPr>
        <w:t xml:space="preserve">an </w:t>
      </w:r>
      <w:r w:rsidR="00256D7A" w:rsidRPr="006D0151">
        <w:rPr>
          <w:rFonts w:ascii="Arial" w:hAnsi="Arial" w:cs="Arial"/>
          <w:sz w:val="24"/>
          <w:szCs w:val="24"/>
        </w:rPr>
        <w:t xml:space="preserve">institution </w:t>
      </w:r>
      <w:r w:rsidR="00B46BF7" w:rsidRPr="006D0151">
        <w:rPr>
          <w:rFonts w:ascii="Arial" w:hAnsi="Arial" w:cs="Arial"/>
          <w:sz w:val="24"/>
          <w:szCs w:val="24"/>
        </w:rPr>
        <w:t>must</w:t>
      </w:r>
      <w:r w:rsidR="00256D7A" w:rsidRPr="006D0151">
        <w:rPr>
          <w:rFonts w:ascii="Arial" w:hAnsi="Arial" w:cs="Arial"/>
          <w:sz w:val="24"/>
          <w:szCs w:val="24"/>
        </w:rPr>
        <w:t xml:space="preserve"> document that the account fees are at or below market rates and that the institution can terminate the contractual arrangement based on student complaints or </w:t>
      </w:r>
      <w:r w:rsidR="00E42711" w:rsidRPr="006D0151">
        <w:rPr>
          <w:rFonts w:ascii="Arial" w:hAnsi="Arial" w:cs="Arial"/>
          <w:sz w:val="24"/>
          <w:szCs w:val="24"/>
        </w:rPr>
        <w:t xml:space="preserve">a determination that the </w:t>
      </w:r>
      <w:r w:rsidR="00256D7A" w:rsidRPr="006D0151">
        <w:rPr>
          <w:rFonts w:ascii="Arial" w:hAnsi="Arial" w:cs="Arial"/>
          <w:sz w:val="24"/>
          <w:szCs w:val="24"/>
        </w:rPr>
        <w:t>fees</w:t>
      </w:r>
      <w:r w:rsidR="00E42711" w:rsidRPr="006D0151">
        <w:rPr>
          <w:rFonts w:ascii="Arial" w:hAnsi="Arial" w:cs="Arial"/>
          <w:sz w:val="24"/>
          <w:szCs w:val="24"/>
        </w:rPr>
        <w:t xml:space="preserve"> are not consistent with or </w:t>
      </w:r>
      <w:r w:rsidR="0063206B" w:rsidRPr="006D0151">
        <w:rPr>
          <w:rFonts w:ascii="Arial" w:hAnsi="Arial" w:cs="Arial"/>
          <w:sz w:val="24"/>
          <w:szCs w:val="24"/>
        </w:rPr>
        <w:t xml:space="preserve">are </w:t>
      </w:r>
      <w:r w:rsidR="00E42711" w:rsidRPr="006D0151">
        <w:rPr>
          <w:rFonts w:ascii="Arial" w:hAnsi="Arial" w:cs="Arial"/>
          <w:sz w:val="24"/>
          <w:szCs w:val="24"/>
        </w:rPr>
        <w:t>above prevailing market rates</w:t>
      </w:r>
      <w:r w:rsidR="00256D7A" w:rsidRPr="006D0151">
        <w:rPr>
          <w:rFonts w:ascii="Arial" w:hAnsi="Arial" w:cs="Arial"/>
          <w:sz w:val="24"/>
          <w:szCs w:val="24"/>
        </w:rPr>
        <w:t>.</w:t>
      </w:r>
      <w:r w:rsidR="00F06A21" w:rsidRPr="00F06A21">
        <w:rPr>
          <w:rFonts w:ascii="Arial" w:hAnsi="Arial" w:cs="Arial"/>
          <w:sz w:val="24"/>
          <w:szCs w:val="24"/>
        </w:rPr>
        <w:t xml:space="preserve"> [Guidance issued 5/</w:t>
      </w:r>
      <w:r w:rsidR="00DB1AEF">
        <w:rPr>
          <w:rFonts w:ascii="Arial" w:hAnsi="Arial" w:cs="Arial"/>
          <w:sz w:val="24"/>
          <w:szCs w:val="24"/>
        </w:rPr>
        <w:t>12</w:t>
      </w:r>
      <w:r w:rsidR="00F06A21" w:rsidRPr="00F06A21">
        <w:rPr>
          <w:rFonts w:ascii="Arial" w:hAnsi="Arial" w:cs="Arial"/>
          <w:sz w:val="24"/>
          <w:szCs w:val="24"/>
        </w:rPr>
        <w:t>/2016]</w:t>
      </w:r>
    </w:p>
    <w:p w14:paraId="58F90FBB" w14:textId="77777777" w:rsidR="003566E8" w:rsidRDefault="003566E8" w:rsidP="007447D7">
      <w:pPr>
        <w:spacing w:after="0" w:line="240" w:lineRule="auto"/>
        <w:rPr>
          <w:rFonts w:ascii="Arial" w:hAnsi="Arial" w:cs="Arial"/>
          <w:b/>
          <w:sz w:val="24"/>
          <w:szCs w:val="24"/>
        </w:rPr>
      </w:pPr>
    </w:p>
    <w:p w14:paraId="524BD974" w14:textId="77777777" w:rsidR="007447D7" w:rsidRPr="006D0151" w:rsidRDefault="007447D7" w:rsidP="007447D7">
      <w:pPr>
        <w:spacing w:after="0" w:line="240" w:lineRule="auto"/>
        <w:rPr>
          <w:rFonts w:ascii="Arial" w:hAnsi="Arial" w:cs="Arial"/>
          <w:b/>
          <w:sz w:val="24"/>
          <w:szCs w:val="24"/>
        </w:rPr>
      </w:pPr>
      <w:r w:rsidRPr="006D0151">
        <w:rPr>
          <w:rFonts w:ascii="Arial" w:hAnsi="Arial" w:cs="Arial"/>
          <w:b/>
          <w:sz w:val="24"/>
          <w:szCs w:val="24"/>
        </w:rPr>
        <w:t>Student Choice Menu (SCM)</w:t>
      </w:r>
    </w:p>
    <w:p w14:paraId="42E2084A" w14:textId="77777777" w:rsidR="007447D7" w:rsidRPr="006D0151" w:rsidRDefault="007447D7" w:rsidP="007447D7">
      <w:pPr>
        <w:spacing w:after="0" w:line="240" w:lineRule="auto"/>
        <w:rPr>
          <w:rFonts w:ascii="Arial" w:hAnsi="Arial" w:cs="Arial"/>
          <w:sz w:val="24"/>
          <w:szCs w:val="24"/>
          <w:u w:val="single"/>
        </w:rPr>
      </w:pPr>
    </w:p>
    <w:p w14:paraId="7464CDDB" w14:textId="45606C9F" w:rsidR="007447D7" w:rsidRPr="006D0151" w:rsidRDefault="007447D7" w:rsidP="007447D7">
      <w:pPr>
        <w:spacing w:after="0" w:line="240" w:lineRule="auto"/>
        <w:rPr>
          <w:rFonts w:ascii="Arial" w:hAnsi="Arial" w:cs="Arial"/>
          <w:sz w:val="24"/>
          <w:szCs w:val="24"/>
          <w:u w:val="single"/>
        </w:rPr>
      </w:pPr>
      <w:r w:rsidRPr="006D0151">
        <w:rPr>
          <w:rFonts w:ascii="Arial" w:hAnsi="Arial" w:cs="Arial"/>
          <w:sz w:val="24"/>
          <w:szCs w:val="24"/>
          <w:u w:val="single"/>
        </w:rPr>
        <w:t xml:space="preserve">SCM Q1: The regulations state that institutions must ensure that “initiating” direct payments by </w:t>
      </w:r>
      <w:r w:rsidR="00B46BF7" w:rsidRPr="006D0151">
        <w:rPr>
          <w:rFonts w:ascii="Arial" w:hAnsi="Arial" w:cs="Arial"/>
          <w:sz w:val="24"/>
          <w:szCs w:val="24"/>
          <w:u w:val="single"/>
        </w:rPr>
        <w:t>electronic funds transfer (</w:t>
      </w:r>
      <w:r w:rsidRPr="006D0151">
        <w:rPr>
          <w:rFonts w:ascii="Arial" w:hAnsi="Arial" w:cs="Arial"/>
          <w:sz w:val="24"/>
          <w:szCs w:val="24"/>
          <w:u w:val="single"/>
        </w:rPr>
        <w:t>EFT</w:t>
      </w:r>
      <w:r w:rsidR="00B46BF7" w:rsidRPr="006D0151">
        <w:rPr>
          <w:rFonts w:ascii="Arial" w:hAnsi="Arial" w:cs="Arial"/>
          <w:sz w:val="24"/>
          <w:szCs w:val="24"/>
          <w:u w:val="single"/>
        </w:rPr>
        <w:t>)</w:t>
      </w:r>
      <w:r w:rsidRPr="006D0151">
        <w:rPr>
          <w:rFonts w:ascii="Arial" w:hAnsi="Arial" w:cs="Arial"/>
          <w:sz w:val="24"/>
          <w:szCs w:val="24"/>
          <w:u w:val="single"/>
        </w:rPr>
        <w:t xml:space="preserve"> to an existing account is as timely as it is to send money to an account under a T1 or T2 arrangement.  What does this mean?</w:t>
      </w:r>
    </w:p>
    <w:p w14:paraId="5A3A35A1" w14:textId="77777777" w:rsidR="007447D7" w:rsidRPr="006D0151" w:rsidRDefault="007447D7" w:rsidP="007447D7">
      <w:pPr>
        <w:spacing w:after="0" w:line="240" w:lineRule="auto"/>
        <w:rPr>
          <w:rFonts w:ascii="Arial" w:hAnsi="Arial" w:cs="Arial"/>
          <w:sz w:val="24"/>
          <w:szCs w:val="24"/>
          <w:u w:val="single"/>
        </w:rPr>
      </w:pPr>
    </w:p>
    <w:p w14:paraId="0628510F" w14:textId="6D510593" w:rsidR="007447D7" w:rsidRPr="006D0151" w:rsidRDefault="007447D7" w:rsidP="007447D7">
      <w:pPr>
        <w:spacing w:after="0" w:line="240" w:lineRule="auto"/>
        <w:rPr>
          <w:rFonts w:ascii="Arial" w:hAnsi="Arial" w:cs="Arial"/>
          <w:sz w:val="24"/>
          <w:szCs w:val="24"/>
        </w:rPr>
      </w:pPr>
      <w:r w:rsidRPr="006D0151">
        <w:rPr>
          <w:rFonts w:ascii="Arial" w:hAnsi="Arial" w:cs="Arial"/>
          <w:sz w:val="24"/>
          <w:szCs w:val="24"/>
        </w:rPr>
        <w:t xml:space="preserve">SCM A1: This means that institutions and financial institutions with T1 and T2 arrangements cannot create </w:t>
      </w:r>
      <w:r w:rsidR="004B3056">
        <w:rPr>
          <w:rFonts w:ascii="Arial" w:hAnsi="Arial" w:cs="Arial"/>
          <w:sz w:val="24"/>
          <w:szCs w:val="24"/>
        </w:rPr>
        <w:t xml:space="preserve">any </w:t>
      </w:r>
      <w:r w:rsidRPr="006D0151">
        <w:rPr>
          <w:rFonts w:ascii="Arial" w:hAnsi="Arial" w:cs="Arial"/>
          <w:sz w:val="24"/>
          <w:szCs w:val="24"/>
        </w:rPr>
        <w:t>unnecessary delay by processing a student’s existing banking and payment information more slowly than accounts made available under T1 and T2 arrangements.  For example</w:t>
      </w:r>
      <w:r w:rsidR="00C50E57">
        <w:rPr>
          <w:rFonts w:ascii="Arial" w:hAnsi="Arial" w:cs="Arial"/>
          <w:sz w:val="24"/>
          <w:szCs w:val="24"/>
        </w:rPr>
        <w:t>, some</w:t>
      </w:r>
      <w:r w:rsidR="004B3056" w:rsidRPr="006D0151">
        <w:rPr>
          <w:rFonts w:ascii="Arial" w:hAnsi="Arial" w:cs="Arial"/>
          <w:sz w:val="24"/>
          <w:szCs w:val="24"/>
        </w:rPr>
        <w:t xml:space="preserve"> </w:t>
      </w:r>
      <w:r w:rsidRPr="006D0151">
        <w:rPr>
          <w:rFonts w:ascii="Arial" w:hAnsi="Arial" w:cs="Arial"/>
          <w:sz w:val="24"/>
          <w:szCs w:val="24"/>
        </w:rPr>
        <w:t xml:space="preserve">financial institutions would </w:t>
      </w:r>
      <w:r w:rsidR="00E42711" w:rsidRPr="006D0151">
        <w:rPr>
          <w:rFonts w:ascii="Arial" w:hAnsi="Arial" w:cs="Arial"/>
          <w:sz w:val="24"/>
          <w:szCs w:val="24"/>
        </w:rPr>
        <w:t>require</w:t>
      </w:r>
      <w:r w:rsidRPr="006D0151">
        <w:rPr>
          <w:rFonts w:ascii="Arial" w:hAnsi="Arial" w:cs="Arial"/>
          <w:sz w:val="24"/>
          <w:szCs w:val="24"/>
        </w:rPr>
        <w:t xml:space="preserve"> students to fill out paper applications to initiate EFTs to their own bank accounts. Students would then have </w:t>
      </w:r>
      <w:r w:rsidR="00AA20CA" w:rsidRPr="006D0151">
        <w:rPr>
          <w:rFonts w:ascii="Arial" w:hAnsi="Arial" w:cs="Arial"/>
          <w:sz w:val="24"/>
          <w:szCs w:val="24"/>
        </w:rPr>
        <w:t xml:space="preserve">had </w:t>
      </w:r>
      <w:r w:rsidRPr="006D0151">
        <w:rPr>
          <w:rFonts w:ascii="Arial" w:hAnsi="Arial" w:cs="Arial"/>
          <w:sz w:val="24"/>
          <w:szCs w:val="24"/>
        </w:rPr>
        <w:t xml:space="preserve">to fax in that form to receive money in their own bank account. </w:t>
      </w:r>
      <w:r w:rsidR="004B3056">
        <w:rPr>
          <w:rFonts w:ascii="Arial" w:hAnsi="Arial" w:cs="Arial"/>
          <w:sz w:val="24"/>
          <w:szCs w:val="24"/>
        </w:rPr>
        <w:t xml:space="preserve"> </w:t>
      </w:r>
      <w:r w:rsidRPr="006D0151">
        <w:rPr>
          <w:rFonts w:ascii="Arial" w:hAnsi="Arial" w:cs="Arial"/>
          <w:sz w:val="24"/>
          <w:szCs w:val="24"/>
        </w:rPr>
        <w:t xml:space="preserve">At the same time, financial institutions would make it clear in the selection menu that students could sign up for accounts online and receive their payments much more quickly. </w:t>
      </w:r>
      <w:r w:rsidR="004301BE" w:rsidRPr="006D0151">
        <w:rPr>
          <w:rFonts w:ascii="Arial" w:hAnsi="Arial" w:cs="Arial"/>
          <w:sz w:val="24"/>
          <w:szCs w:val="24"/>
        </w:rPr>
        <w:t xml:space="preserve"> </w:t>
      </w:r>
      <w:r w:rsidRPr="006D0151">
        <w:rPr>
          <w:rFonts w:ascii="Arial" w:hAnsi="Arial" w:cs="Arial"/>
          <w:sz w:val="24"/>
          <w:szCs w:val="24"/>
        </w:rPr>
        <w:t>There was no technological reason for this delay</w:t>
      </w:r>
      <w:r w:rsidR="00A74DE2" w:rsidRPr="006D0151">
        <w:rPr>
          <w:rFonts w:ascii="Arial" w:hAnsi="Arial" w:cs="Arial"/>
          <w:sz w:val="24"/>
          <w:szCs w:val="24"/>
        </w:rPr>
        <w:t>,</w:t>
      </w:r>
      <w:r w:rsidRPr="006D0151">
        <w:rPr>
          <w:rFonts w:ascii="Arial" w:hAnsi="Arial" w:cs="Arial"/>
          <w:sz w:val="24"/>
          <w:szCs w:val="24"/>
        </w:rPr>
        <w:t xml:space="preserve"> and it simply existed as a manufactured delay designed to push students toward the accounts. This practice and others like it are now </w:t>
      </w:r>
      <w:r w:rsidR="004301BE" w:rsidRPr="006D0151">
        <w:rPr>
          <w:rFonts w:ascii="Arial" w:hAnsi="Arial" w:cs="Arial"/>
          <w:sz w:val="24"/>
          <w:szCs w:val="24"/>
        </w:rPr>
        <w:t xml:space="preserve">prohibited </w:t>
      </w:r>
      <w:r w:rsidRPr="006D0151">
        <w:rPr>
          <w:rFonts w:ascii="Arial" w:hAnsi="Arial" w:cs="Arial"/>
          <w:sz w:val="24"/>
          <w:szCs w:val="24"/>
        </w:rPr>
        <w:t>under the new regulations.</w:t>
      </w:r>
    </w:p>
    <w:p w14:paraId="53BA71AF" w14:textId="77777777" w:rsidR="007447D7" w:rsidRPr="006D0151" w:rsidRDefault="007447D7" w:rsidP="007447D7">
      <w:pPr>
        <w:spacing w:after="0" w:line="240" w:lineRule="auto"/>
        <w:rPr>
          <w:rFonts w:ascii="Arial" w:hAnsi="Arial" w:cs="Arial"/>
          <w:sz w:val="24"/>
          <w:szCs w:val="24"/>
        </w:rPr>
      </w:pPr>
    </w:p>
    <w:p w14:paraId="32A81A1F" w14:textId="018F3BAE" w:rsidR="007447D7" w:rsidRPr="006D0151" w:rsidRDefault="007447D7" w:rsidP="007447D7">
      <w:pPr>
        <w:spacing w:after="0" w:line="240" w:lineRule="auto"/>
        <w:rPr>
          <w:rFonts w:ascii="Arial" w:hAnsi="Arial" w:cs="Arial"/>
          <w:sz w:val="24"/>
          <w:szCs w:val="24"/>
        </w:rPr>
      </w:pPr>
      <w:r w:rsidRPr="006D0151">
        <w:rPr>
          <w:rFonts w:ascii="Arial" w:hAnsi="Arial" w:cs="Arial"/>
          <w:sz w:val="24"/>
          <w:szCs w:val="24"/>
        </w:rPr>
        <w:t>However, we understand that</w:t>
      </w:r>
      <w:r w:rsidR="00936CA8">
        <w:rPr>
          <w:rFonts w:ascii="Arial" w:hAnsi="Arial" w:cs="Arial"/>
          <w:sz w:val="24"/>
          <w:szCs w:val="24"/>
        </w:rPr>
        <w:t>,</w:t>
      </w:r>
      <w:r w:rsidRPr="006D0151">
        <w:rPr>
          <w:rFonts w:ascii="Arial" w:hAnsi="Arial" w:cs="Arial"/>
          <w:sz w:val="24"/>
          <w:szCs w:val="24"/>
        </w:rPr>
        <w:t xml:space="preserve"> while institutions may initiate electronic payments at the same time, the time that </w:t>
      </w:r>
      <w:r w:rsidR="004301BE" w:rsidRPr="006D0151">
        <w:rPr>
          <w:rFonts w:ascii="Arial" w:hAnsi="Arial" w:cs="Arial"/>
          <w:sz w:val="24"/>
          <w:szCs w:val="24"/>
        </w:rPr>
        <w:t xml:space="preserve">elapses </w:t>
      </w:r>
      <w:r w:rsidRPr="006D0151">
        <w:rPr>
          <w:rFonts w:ascii="Arial" w:hAnsi="Arial" w:cs="Arial"/>
          <w:sz w:val="24"/>
          <w:szCs w:val="24"/>
        </w:rPr>
        <w:t xml:space="preserve">before a student receives the funds may vary based on the method of electronic transfer used and the speed with which the receiving financial institution processes payments.  To account for </w:t>
      </w:r>
      <w:r w:rsidR="00CB125C">
        <w:rPr>
          <w:rFonts w:ascii="Arial" w:hAnsi="Arial" w:cs="Arial"/>
          <w:sz w:val="24"/>
          <w:szCs w:val="24"/>
        </w:rPr>
        <w:t>differences</w:t>
      </w:r>
      <w:r w:rsidRPr="006D0151">
        <w:rPr>
          <w:rFonts w:ascii="Arial" w:hAnsi="Arial" w:cs="Arial"/>
          <w:sz w:val="24"/>
          <w:szCs w:val="24"/>
        </w:rPr>
        <w:t xml:space="preserve"> </w:t>
      </w:r>
      <w:r w:rsidR="00BB42C9" w:rsidRPr="006D0151">
        <w:rPr>
          <w:rFonts w:ascii="Arial" w:hAnsi="Arial" w:cs="Arial"/>
          <w:sz w:val="24"/>
          <w:szCs w:val="24"/>
        </w:rPr>
        <w:t xml:space="preserve">over which </w:t>
      </w:r>
      <w:r w:rsidRPr="006D0151">
        <w:rPr>
          <w:rFonts w:ascii="Arial" w:hAnsi="Arial" w:cs="Arial"/>
          <w:sz w:val="24"/>
          <w:szCs w:val="24"/>
        </w:rPr>
        <w:t xml:space="preserve">the institution and initiating financial institution have no control, we also have stated that there can be no difference in the time between initiating a payment to a student’s bank account and initiating a payment to an account opened under a T1 or T2 arrangement. </w:t>
      </w:r>
      <w:r w:rsidR="00F06A21" w:rsidRPr="00F06A21">
        <w:rPr>
          <w:rFonts w:ascii="Arial" w:hAnsi="Arial" w:cs="Arial"/>
          <w:sz w:val="24"/>
          <w:szCs w:val="24"/>
        </w:rPr>
        <w:t>[Guidance issued 5/</w:t>
      </w:r>
      <w:r w:rsidR="00DB1AEF">
        <w:rPr>
          <w:rFonts w:ascii="Arial" w:hAnsi="Arial" w:cs="Arial"/>
          <w:sz w:val="24"/>
          <w:szCs w:val="24"/>
        </w:rPr>
        <w:t>12</w:t>
      </w:r>
      <w:r w:rsidR="00F06A21" w:rsidRPr="00F06A21">
        <w:rPr>
          <w:rFonts w:ascii="Arial" w:hAnsi="Arial" w:cs="Arial"/>
          <w:sz w:val="24"/>
          <w:szCs w:val="24"/>
        </w:rPr>
        <w:t>/2016]</w:t>
      </w:r>
    </w:p>
    <w:p w14:paraId="75FEDF0A" w14:textId="77777777" w:rsidR="007447D7" w:rsidRPr="006D0151" w:rsidRDefault="007447D7" w:rsidP="007447D7">
      <w:pPr>
        <w:spacing w:after="0" w:line="240" w:lineRule="auto"/>
        <w:rPr>
          <w:rFonts w:ascii="Arial" w:hAnsi="Arial" w:cs="Arial"/>
          <w:sz w:val="24"/>
          <w:szCs w:val="24"/>
          <w:u w:val="single"/>
        </w:rPr>
      </w:pPr>
    </w:p>
    <w:p w14:paraId="4DBF8349" w14:textId="076C1D60" w:rsidR="007447D7" w:rsidRPr="006D0151" w:rsidRDefault="007447D7" w:rsidP="007447D7">
      <w:pPr>
        <w:spacing w:after="0" w:line="240" w:lineRule="auto"/>
        <w:rPr>
          <w:rFonts w:ascii="Arial" w:hAnsi="Arial" w:cs="Arial"/>
          <w:sz w:val="24"/>
          <w:szCs w:val="24"/>
          <w:u w:val="single"/>
        </w:rPr>
      </w:pPr>
      <w:r w:rsidRPr="006D0151">
        <w:rPr>
          <w:rFonts w:ascii="Arial" w:hAnsi="Arial" w:cs="Arial"/>
          <w:sz w:val="24"/>
          <w:szCs w:val="24"/>
          <w:u w:val="single"/>
        </w:rPr>
        <w:t>SCM Q2: Is it acceptable</w:t>
      </w:r>
      <w:r w:rsidR="00CB125C">
        <w:rPr>
          <w:rFonts w:ascii="Arial" w:hAnsi="Arial" w:cs="Arial"/>
          <w:sz w:val="24"/>
          <w:szCs w:val="24"/>
          <w:u w:val="single"/>
        </w:rPr>
        <w:t xml:space="preserve"> for institutions to inform their students </w:t>
      </w:r>
      <w:r w:rsidRPr="006D0151">
        <w:rPr>
          <w:rFonts w:ascii="Arial" w:hAnsi="Arial" w:cs="Arial"/>
          <w:sz w:val="24"/>
          <w:szCs w:val="24"/>
          <w:u w:val="single"/>
        </w:rPr>
        <w:t>that check disbursements take longer</w:t>
      </w:r>
      <w:r w:rsidR="00E20206">
        <w:rPr>
          <w:rFonts w:ascii="Arial" w:hAnsi="Arial" w:cs="Arial"/>
          <w:sz w:val="24"/>
          <w:szCs w:val="24"/>
          <w:u w:val="single"/>
        </w:rPr>
        <w:t xml:space="preserve"> to process</w:t>
      </w:r>
      <w:r w:rsidRPr="006D0151">
        <w:rPr>
          <w:rFonts w:ascii="Arial" w:hAnsi="Arial" w:cs="Arial"/>
          <w:sz w:val="24"/>
          <w:szCs w:val="24"/>
          <w:u w:val="single"/>
        </w:rPr>
        <w:t>?</w:t>
      </w:r>
    </w:p>
    <w:p w14:paraId="471C5CB7" w14:textId="77777777" w:rsidR="007447D7" w:rsidRPr="006D0151" w:rsidRDefault="007447D7" w:rsidP="007447D7">
      <w:pPr>
        <w:spacing w:after="0" w:line="240" w:lineRule="auto"/>
        <w:rPr>
          <w:rFonts w:ascii="Arial" w:hAnsi="Arial" w:cs="Arial"/>
          <w:sz w:val="24"/>
          <w:szCs w:val="24"/>
          <w:u w:val="single"/>
        </w:rPr>
      </w:pPr>
    </w:p>
    <w:p w14:paraId="261DA01D" w14:textId="33E2526D" w:rsidR="007447D7" w:rsidRPr="006D0151" w:rsidRDefault="007447D7" w:rsidP="007447D7">
      <w:pPr>
        <w:spacing w:after="0" w:line="240" w:lineRule="auto"/>
        <w:rPr>
          <w:rFonts w:ascii="Arial" w:hAnsi="Arial" w:cs="Arial"/>
          <w:sz w:val="24"/>
          <w:szCs w:val="24"/>
          <w:u w:val="single"/>
        </w:rPr>
      </w:pPr>
      <w:r w:rsidRPr="006D0151">
        <w:rPr>
          <w:rFonts w:ascii="Arial" w:hAnsi="Arial" w:cs="Arial"/>
          <w:sz w:val="24"/>
          <w:szCs w:val="24"/>
        </w:rPr>
        <w:t>SCM A2: The provision discussing initiating payments only covers</w:t>
      </w:r>
      <w:r w:rsidR="00843547" w:rsidRPr="006D0151">
        <w:rPr>
          <w:rFonts w:ascii="Arial" w:hAnsi="Arial" w:cs="Arial"/>
          <w:sz w:val="24"/>
          <w:szCs w:val="24"/>
        </w:rPr>
        <w:t xml:space="preserve"> EFTs</w:t>
      </w:r>
      <w:r w:rsidRPr="006D0151">
        <w:rPr>
          <w:rFonts w:ascii="Arial" w:hAnsi="Arial" w:cs="Arial"/>
          <w:sz w:val="24"/>
          <w:szCs w:val="24"/>
        </w:rPr>
        <w:t xml:space="preserve">, so it is acceptable to </w:t>
      </w:r>
      <w:r w:rsidR="00E20206">
        <w:rPr>
          <w:rFonts w:ascii="Arial" w:hAnsi="Arial" w:cs="Arial"/>
          <w:sz w:val="24"/>
          <w:szCs w:val="24"/>
        </w:rPr>
        <w:t>inform students</w:t>
      </w:r>
      <w:r w:rsidR="00AA71A2">
        <w:rPr>
          <w:rFonts w:ascii="Arial" w:hAnsi="Arial" w:cs="Arial"/>
          <w:sz w:val="24"/>
          <w:szCs w:val="24"/>
        </w:rPr>
        <w:t xml:space="preserve"> </w:t>
      </w:r>
      <w:r w:rsidRPr="006D0151">
        <w:rPr>
          <w:rFonts w:ascii="Arial" w:hAnsi="Arial" w:cs="Arial"/>
          <w:sz w:val="24"/>
          <w:szCs w:val="24"/>
        </w:rPr>
        <w:t xml:space="preserve">that a check can take longer to process. However, we remind institutions that the requirement to </w:t>
      </w:r>
      <w:r w:rsidR="00E20206">
        <w:rPr>
          <w:rFonts w:ascii="Arial" w:hAnsi="Arial" w:cs="Arial"/>
          <w:sz w:val="24"/>
          <w:szCs w:val="24"/>
        </w:rPr>
        <w:t xml:space="preserve">make </w:t>
      </w:r>
      <w:r w:rsidRPr="006D0151">
        <w:rPr>
          <w:rFonts w:ascii="Arial" w:hAnsi="Arial" w:cs="Arial"/>
          <w:sz w:val="24"/>
          <w:szCs w:val="24"/>
        </w:rPr>
        <w:t>a student</w:t>
      </w:r>
      <w:r w:rsidR="00E20206">
        <w:rPr>
          <w:rFonts w:ascii="Arial" w:hAnsi="Arial" w:cs="Arial"/>
          <w:sz w:val="24"/>
          <w:szCs w:val="24"/>
        </w:rPr>
        <w:t>’s</w:t>
      </w:r>
      <w:r w:rsidRPr="006D0151">
        <w:rPr>
          <w:rFonts w:ascii="Arial" w:hAnsi="Arial" w:cs="Arial"/>
          <w:sz w:val="24"/>
          <w:szCs w:val="24"/>
        </w:rPr>
        <w:t xml:space="preserve"> credit balance </w:t>
      </w:r>
      <w:r w:rsidR="00E20206">
        <w:rPr>
          <w:rFonts w:ascii="Arial" w:hAnsi="Arial" w:cs="Arial"/>
          <w:sz w:val="24"/>
          <w:szCs w:val="24"/>
        </w:rPr>
        <w:t xml:space="preserve">available </w:t>
      </w:r>
      <w:r w:rsidRPr="006D0151">
        <w:rPr>
          <w:rFonts w:ascii="Arial" w:hAnsi="Arial" w:cs="Arial"/>
          <w:sz w:val="24"/>
          <w:szCs w:val="24"/>
        </w:rPr>
        <w:t>within 14 days is still in effect.</w:t>
      </w:r>
      <w:r w:rsidR="00F06A21" w:rsidRPr="00F06A21">
        <w:rPr>
          <w:rFonts w:ascii="Arial" w:hAnsi="Arial" w:cs="Arial"/>
          <w:sz w:val="24"/>
          <w:szCs w:val="24"/>
        </w:rPr>
        <w:t xml:space="preserve"> [Guidance issued 5/</w:t>
      </w:r>
      <w:r w:rsidR="00DB1AEF">
        <w:rPr>
          <w:rFonts w:ascii="Arial" w:hAnsi="Arial" w:cs="Arial"/>
          <w:sz w:val="24"/>
          <w:szCs w:val="24"/>
        </w:rPr>
        <w:t>12</w:t>
      </w:r>
      <w:r w:rsidR="00F06A21" w:rsidRPr="00F06A21">
        <w:rPr>
          <w:rFonts w:ascii="Arial" w:hAnsi="Arial" w:cs="Arial"/>
          <w:sz w:val="24"/>
          <w:szCs w:val="24"/>
        </w:rPr>
        <w:t>/2016]</w:t>
      </w:r>
    </w:p>
    <w:p w14:paraId="599444E3" w14:textId="77777777" w:rsidR="007447D7" w:rsidRPr="006D0151" w:rsidRDefault="007447D7" w:rsidP="007447D7">
      <w:pPr>
        <w:spacing w:after="0" w:line="240" w:lineRule="auto"/>
        <w:rPr>
          <w:rFonts w:ascii="Arial" w:hAnsi="Arial" w:cs="Arial"/>
          <w:sz w:val="24"/>
          <w:szCs w:val="24"/>
          <w:u w:val="single"/>
        </w:rPr>
      </w:pPr>
    </w:p>
    <w:p w14:paraId="282395D4" w14:textId="0999BC3F" w:rsidR="007447D7" w:rsidRPr="006D0151" w:rsidRDefault="007447D7" w:rsidP="007447D7">
      <w:pPr>
        <w:spacing w:after="0" w:line="240" w:lineRule="auto"/>
        <w:rPr>
          <w:rFonts w:ascii="Arial" w:hAnsi="Arial" w:cs="Arial"/>
          <w:sz w:val="24"/>
          <w:szCs w:val="24"/>
          <w:u w:val="single"/>
        </w:rPr>
      </w:pPr>
      <w:r w:rsidRPr="006D0151">
        <w:rPr>
          <w:rFonts w:ascii="Arial" w:hAnsi="Arial" w:cs="Arial"/>
          <w:sz w:val="24"/>
          <w:szCs w:val="24"/>
          <w:u w:val="single"/>
        </w:rPr>
        <w:t>SCM Q3: What are the consent requirements for</w:t>
      </w:r>
      <w:r w:rsidR="00E42711" w:rsidRPr="006D0151">
        <w:rPr>
          <w:rFonts w:ascii="Arial" w:hAnsi="Arial" w:cs="Arial"/>
          <w:sz w:val="24"/>
          <w:szCs w:val="24"/>
          <w:u w:val="single"/>
        </w:rPr>
        <w:t xml:space="preserve"> accounts offered under</w:t>
      </w:r>
      <w:r w:rsidRPr="006D0151">
        <w:rPr>
          <w:rFonts w:ascii="Arial" w:hAnsi="Arial" w:cs="Arial"/>
          <w:sz w:val="24"/>
          <w:szCs w:val="24"/>
          <w:u w:val="single"/>
        </w:rPr>
        <w:t xml:space="preserve"> T1 and T2 arrangements?</w:t>
      </w:r>
    </w:p>
    <w:p w14:paraId="7837A5ED" w14:textId="77777777" w:rsidR="007447D7" w:rsidRPr="006D0151" w:rsidDel="003353EF" w:rsidRDefault="007447D7" w:rsidP="007447D7">
      <w:pPr>
        <w:spacing w:after="0" w:line="240" w:lineRule="auto"/>
        <w:rPr>
          <w:rFonts w:ascii="Arial" w:hAnsi="Arial" w:cs="Arial"/>
          <w:sz w:val="24"/>
          <w:szCs w:val="24"/>
          <w:u w:val="single"/>
        </w:rPr>
      </w:pPr>
    </w:p>
    <w:p w14:paraId="2C578A79" w14:textId="494A623E" w:rsidR="00CD26CC" w:rsidRPr="006D0151" w:rsidRDefault="007447D7" w:rsidP="00DB2B2F">
      <w:pPr>
        <w:autoSpaceDE w:val="0"/>
        <w:autoSpaceDN w:val="0"/>
        <w:adjustRightInd w:val="0"/>
        <w:spacing w:after="0" w:line="240" w:lineRule="auto"/>
        <w:rPr>
          <w:rFonts w:ascii="Arial" w:hAnsi="Arial" w:cs="Arial"/>
          <w:sz w:val="24"/>
          <w:szCs w:val="24"/>
        </w:rPr>
      </w:pPr>
      <w:r w:rsidRPr="006D0151">
        <w:rPr>
          <w:rFonts w:ascii="Arial" w:hAnsi="Arial" w:cs="Arial"/>
          <w:sz w:val="24"/>
          <w:szCs w:val="24"/>
        </w:rPr>
        <w:t>SCM A3: I</w:t>
      </w:r>
      <w:r w:rsidRPr="006D0151" w:rsidDel="00E822C3">
        <w:rPr>
          <w:rFonts w:ascii="Arial" w:hAnsi="Arial" w:cs="Arial"/>
          <w:sz w:val="24"/>
          <w:szCs w:val="24"/>
        </w:rPr>
        <w:t>nstitution</w:t>
      </w:r>
      <w:r w:rsidRPr="006D0151">
        <w:rPr>
          <w:rFonts w:ascii="Arial" w:hAnsi="Arial" w:cs="Arial"/>
          <w:sz w:val="24"/>
          <w:szCs w:val="24"/>
        </w:rPr>
        <w:t>s with T1 arrangements will have to allow students to</w:t>
      </w:r>
      <w:r w:rsidRPr="006D0151" w:rsidDel="00E822C3">
        <w:rPr>
          <w:rFonts w:ascii="Arial" w:hAnsi="Arial" w:cs="Arial"/>
          <w:sz w:val="24"/>
          <w:szCs w:val="24"/>
        </w:rPr>
        <w:t xml:space="preserve"> </w:t>
      </w:r>
      <w:r w:rsidRPr="006D0151">
        <w:rPr>
          <w:rFonts w:ascii="Arial" w:hAnsi="Arial" w:cs="Arial"/>
          <w:sz w:val="24"/>
          <w:szCs w:val="24"/>
        </w:rPr>
        <w:t xml:space="preserve">make a selection regarding how they choose to receive their </w:t>
      </w:r>
      <w:r w:rsidR="00E20206">
        <w:rPr>
          <w:rFonts w:ascii="Arial" w:hAnsi="Arial" w:cs="Arial"/>
          <w:sz w:val="24"/>
          <w:szCs w:val="24"/>
        </w:rPr>
        <w:t xml:space="preserve">Title IV </w:t>
      </w:r>
      <w:r w:rsidRPr="006D0151">
        <w:rPr>
          <w:rFonts w:ascii="Arial" w:hAnsi="Arial" w:cs="Arial"/>
          <w:sz w:val="24"/>
          <w:szCs w:val="24"/>
        </w:rPr>
        <w:t xml:space="preserve">credit balances before the institution can share certain personal information about </w:t>
      </w:r>
      <w:r w:rsidR="00BB42C9" w:rsidRPr="006D0151">
        <w:rPr>
          <w:rFonts w:ascii="Arial" w:hAnsi="Arial" w:cs="Arial"/>
          <w:sz w:val="24"/>
          <w:szCs w:val="24"/>
        </w:rPr>
        <w:t xml:space="preserve">those </w:t>
      </w:r>
      <w:r w:rsidRPr="006D0151">
        <w:rPr>
          <w:rFonts w:ascii="Arial" w:hAnsi="Arial" w:cs="Arial"/>
          <w:sz w:val="24"/>
          <w:szCs w:val="24"/>
        </w:rPr>
        <w:t>student</w:t>
      </w:r>
      <w:r w:rsidR="00BB42C9" w:rsidRPr="006D0151">
        <w:rPr>
          <w:rFonts w:ascii="Arial" w:hAnsi="Arial" w:cs="Arial"/>
          <w:sz w:val="24"/>
          <w:szCs w:val="24"/>
        </w:rPr>
        <w:t>s</w:t>
      </w:r>
      <w:r w:rsidRPr="006D0151">
        <w:rPr>
          <w:rFonts w:ascii="Arial" w:hAnsi="Arial" w:cs="Arial"/>
          <w:sz w:val="24"/>
          <w:szCs w:val="24"/>
        </w:rPr>
        <w:t xml:space="preserve"> with the </w:t>
      </w:r>
      <w:r w:rsidR="00863677" w:rsidRPr="006D0151">
        <w:rPr>
          <w:rFonts w:ascii="Arial" w:hAnsi="Arial" w:cs="Arial"/>
          <w:sz w:val="24"/>
          <w:szCs w:val="24"/>
        </w:rPr>
        <w:t>third-party servicer</w:t>
      </w:r>
      <w:r w:rsidRPr="006D0151">
        <w:rPr>
          <w:rFonts w:ascii="Arial" w:hAnsi="Arial" w:cs="Arial"/>
          <w:sz w:val="24"/>
          <w:szCs w:val="24"/>
        </w:rPr>
        <w:t xml:space="preserve">. </w:t>
      </w:r>
      <w:r w:rsidR="00BB42C9" w:rsidRPr="006D0151">
        <w:rPr>
          <w:rFonts w:ascii="Arial" w:hAnsi="Arial" w:cs="Arial"/>
          <w:sz w:val="24"/>
          <w:szCs w:val="24"/>
        </w:rPr>
        <w:t xml:space="preserve"> </w:t>
      </w:r>
      <w:r w:rsidRPr="006D0151">
        <w:rPr>
          <w:rFonts w:ascii="Arial" w:hAnsi="Arial" w:cs="Arial"/>
          <w:sz w:val="24"/>
          <w:szCs w:val="24"/>
        </w:rPr>
        <w:t>Institutions with T2 arrangements must</w:t>
      </w:r>
      <w:r w:rsidRPr="006D0151" w:rsidDel="00E822C3">
        <w:rPr>
          <w:rFonts w:ascii="Arial" w:hAnsi="Arial" w:cs="Arial"/>
          <w:sz w:val="24"/>
          <w:szCs w:val="24"/>
        </w:rPr>
        <w:t xml:space="preserve"> obtain consent from </w:t>
      </w:r>
      <w:r w:rsidRPr="006D0151">
        <w:rPr>
          <w:rFonts w:ascii="Arial" w:hAnsi="Arial" w:cs="Arial"/>
          <w:sz w:val="24"/>
          <w:szCs w:val="24"/>
        </w:rPr>
        <w:t xml:space="preserve">a student to open an account before the institution can share </w:t>
      </w:r>
      <w:r w:rsidR="0086478D" w:rsidRPr="006D0151">
        <w:rPr>
          <w:rFonts w:ascii="Arial" w:hAnsi="Arial" w:cs="Arial"/>
          <w:sz w:val="24"/>
          <w:szCs w:val="24"/>
        </w:rPr>
        <w:t>certain personal information</w:t>
      </w:r>
      <w:r w:rsidRPr="006D0151">
        <w:rPr>
          <w:rFonts w:ascii="Arial" w:hAnsi="Arial" w:cs="Arial"/>
          <w:sz w:val="24"/>
          <w:szCs w:val="24"/>
        </w:rPr>
        <w:t xml:space="preserve"> with the financial account provider. </w:t>
      </w:r>
      <w:r w:rsidR="00BB42C9" w:rsidRPr="006D0151">
        <w:rPr>
          <w:rFonts w:ascii="Arial" w:hAnsi="Arial" w:cs="Arial"/>
          <w:sz w:val="24"/>
          <w:szCs w:val="24"/>
        </w:rPr>
        <w:t xml:space="preserve"> </w:t>
      </w:r>
      <w:r w:rsidRPr="006D0151">
        <w:rPr>
          <w:rFonts w:ascii="Arial" w:hAnsi="Arial" w:cs="Arial"/>
          <w:sz w:val="24"/>
          <w:szCs w:val="24"/>
        </w:rPr>
        <w:t xml:space="preserve">Under both T1 and T2 arrangements, a student must consent to open an account before an access device </w:t>
      </w:r>
      <w:r w:rsidR="00863677" w:rsidRPr="006D0151">
        <w:rPr>
          <w:rFonts w:ascii="Arial" w:hAnsi="Arial" w:cs="Arial"/>
          <w:sz w:val="24"/>
          <w:szCs w:val="24"/>
        </w:rPr>
        <w:t xml:space="preserve">can be sent </w:t>
      </w:r>
      <w:r w:rsidRPr="006D0151">
        <w:rPr>
          <w:rFonts w:ascii="Arial" w:hAnsi="Arial" w:cs="Arial"/>
          <w:sz w:val="24"/>
          <w:szCs w:val="24"/>
        </w:rPr>
        <w:t xml:space="preserve">to the student or </w:t>
      </w:r>
      <w:r w:rsidR="00863677" w:rsidRPr="006D0151">
        <w:rPr>
          <w:rFonts w:ascii="Arial" w:hAnsi="Arial" w:cs="Arial"/>
          <w:sz w:val="24"/>
          <w:szCs w:val="24"/>
        </w:rPr>
        <w:t xml:space="preserve">a student ID card can be validated to enable the student to use it to access the </w:t>
      </w:r>
      <w:r w:rsidRPr="006D0151">
        <w:rPr>
          <w:rFonts w:ascii="Arial" w:hAnsi="Arial" w:cs="Arial"/>
          <w:sz w:val="24"/>
          <w:szCs w:val="24"/>
        </w:rPr>
        <w:t xml:space="preserve">financial account. </w:t>
      </w:r>
      <w:r w:rsidR="00F06A21" w:rsidRPr="00F06A21">
        <w:rPr>
          <w:rFonts w:ascii="Arial" w:hAnsi="Arial" w:cs="Arial"/>
          <w:sz w:val="24"/>
          <w:szCs w:val="24"/>
        </w:rPr>
        <w:t>[Guidance issued 5/</w:t>
      </w:r>
      <w:r w:rsidR="00DB1AEF">
        <w:rPr>
          <w:rFonts w:ascii="Arial" w:hAnsi="Arial" w:cs="Arial"/>
          <w:sz w:val="24"/>
          <w:szCs w:val="24"/>
        </w:rPr>
        <w:t>12</w:t>
      </w:r>
      <w:r w:rsidR="00F06A21" w:rsidRPr="00F06A21">
        <w:rPr>
          <w:rFonts w:ascii="Arial" w:hAnsi="Arial" w:cs="Arial"/>
          <w:sz w:val="24"/>
          <w:szCs w:val="24"/>
        </w:rPr>
        <w:t>/2016]</w:t>
      </w:r>
    </w:p>
    <w:p w14:paraId="1B077729" w14:textId="77777777" w:rsidR="00DB2B2F" w:rsidRPr="006D0151" w:rsidRDefault="00DB2B2F" w:rsidP="00DB2B2F">
      <w:pPr>
        <w:autoSpaceDE w:val="0"/>
        <w:autoSpaceDN w:val="0"/>
        <w:adjustRightInd w:val="0"/>
        <w:spacing w:after="0" w:line="240" w:lineRule="auto"/>
        <w:rPr>
          <w:rFonts w:ascii="Arial" w:hAnsi="Arial" w:cs="Arial"/>
          <w:sz w:val="24"/>
          <w:szCs w:val="24"/>
        </w:rPr>
      </w:pPr>
    </w:p>
    <w:p w14:paraId="087326EE" w14:textId="77777777" w:rsidR="00DB2B2F" w:rsidRPr="006D0151" w:rsidRDefault="00DB2B2F" w:rsidP="00DB2B2F">
      <w:pPr>
        <w:autoSpaceDE w:val="0"/>
        <w:autoSpaceDN w:val="0"/>
        <w:adjustRightInd w:val="0"/>
        <w:spacing w:after="0" w:line="240" w:lineRule="auto"/>
        <w:rPr>
          <w:rFonts w:ascii="Arial" w:hAnsi="Arial" w:cs="Arial"/>
          <w:sz w:val="24"/>
          <w:szCs w:val="24"/>
        </w:rPr>
      </w:pPr>
    </w:p>
    <w:p w14:paraId="17680297" w14:textId="25E0C489" w:rsidR="00256D7A" w:rsidRPr="006D0151" w:rsidRDefault="00256D7A" w:rsidP="00FD61B6">
      <w:pPr>
        <w:spacing w:after="0" w:line="240" w:lineRule="auto"/>
        <w:rPr>
          <w:rFonts w:ascii="Arial" w:hAnsi="Arial" w:cs="Arial"/>
          <w:b/>
          <w:sz w:val="24"/>
          <w:szCs w:val="24"/>
        </w:rPr>
      </w:pPr>
      <w:r w:rsidRPr="006D0151">
        <w:rPr>
          <w:rFonts w:ascii="Arial" w:hAnsi="Arial" w:cs="Arial"/>
          <w:b/>
          <w:sz w:val="24"/>
          <w:szCs w:val="24"/>
        </w:rPr>
        <w:t>Fee Limitations (FL)</w:t>
      </w:r>
    </w:p>
    <w:p w14:paraId="7BFAD855" w14:textId="77777777" w:rsidR="00256D7A" w:rsidRPr="006D0151" w:rsidRDefault="00256D7A" w:rsidP="00FD61B6">
      <w:pPr>
        <w:spacing w:after="0" w:line="240" w:lineRule="auto"/>
        <w:rPr>
          <w:rFonts w:ascii="Arial" w:hAnsi="Arial" w:cs="Arial"/>
          <w:sz w:val="24"/>
          <w:szCs w:val="24"/>
          <w:u w:val="single"/>
        </w:rPr>
      </w:pPr>
    </w:p>
    <w:p w14:paraId="7915012F" w14:textId="05154124" w:rsidR="006214C5" w:rsidRPr="006D0151" w:rsidRDefault="00996F88" w:rsidP="00FD61B6">
      <w:pPr>
        <w:spacing w:after="0" w:line="240" w:lineRule="auto"/>
        <w:rPr>
          <w:rFonts w:ascii="Arial" w:hAnsi="Arial" w:cs="Arial"/>
          <w:sz w:val="24"/>
          <w:szCs w:val="24"/>
          <w:u w:val="single"/>
        </w:rPr>
      </w:pPr>
      <w:r w:rsidRPr="006D0151">
        <w:rPr>
          <w:rFonts w:ascii="Arial" w:hAnsi="Arial" w:cs="Arial"/>
          <w:sz w:val="24"/>
          <w:szCs w:val="24"/>
          <w:u w:val="single"/>
        </w:rPr>
        <w:t xml:space="preserve">FL Q1: </w:t>
      </w:r>
      <w:r w:rsidR="006214C5" w:rsidRPr="006D0151">
        <w:rPr>
          <w:rFonts w:ascii="Arial" w:hAnsi="Arial" w:cs="Arial"/>
          <w:sz w:val="24"/>
          <w:szCs w:val="24"/>
          <w:u w:val="single"/>
        </w:rPr>
        <w:t>What fee limitations do the regulations establish for T1 and T2 arrangements?</w:t>
      </w:r>
    </w:p>
    <w:p w14:paraId="2EBFF3E7" w14:textId="77777777" w:rsidR="0013775A" w:rsidRPr="006D0151" w:rsidRDefault="0013775A" w:rsidP="00FD61B6">
      <w:pPr>
        <w:spacing w:after="0" w:line="240" w:lineRule="auto"/>
        <w:rPr>
          <w:rFonts w:ascii="Arial" w:hAnsi="Arial" w:cs="Arial"/>
          <w:sz w:val="24"/>
          <w:szCs w:val="24"/>
          <w:u w:val="single"/>
        </w:rPr>
      </w:pPr>
    </w:p>
    <w:p w14:paraId="79150130" w14:textId="4D5BDD2F" w:rsidR="006214C5" w:rsidRPr="006D0151" w:rsidRDefault="00996F88" w:rsidP="00FD61B6">
      <w:pPr>
        <w:autoSpaceDE w:val="0"/>
        <w:autoSpaceDN w:val="0"/>
        <w:adjustRightInd w:val="0"/>
        <w:spacing w:after="0" w:line="240" w:lineRule="auto"/>
        <w:rPr>
          <w:rFonts w:ascii="Arial" w:hAnsi="Arial" w:cs="Arial"/>
          <w:sz w:val="24"/>
          <w:szCs w:val="24"/>
        </w:rPr>
      </w:pPr>
      <w:r w:rsidRPr="006D0151">
        <w:rPr>
          <w:rFonts w:ascii="Arial" w:hAnsi="Arial" w:cs="Arial"/>
          <w:sz w:val="24"/>
          <w:szCs w:val="24"/>
        </w:rPr>
        <w:t xml:space="preserve">FL A1: </w:t>
      </w:r>
      <w:r w:rsidR="00863677" w:rsidRPr="006D0151">
        <w:rPr>
          <w:rFonts w:ascii="Arial" w:hAnsi="Arial" w:cs="Arial"/>
          <w:sz w:val="24"/>
          <w:szCs w:val="24"/>
        </w:rPr>
        <w:t>For T1 arrangements, t</w:t>
      </w:r>
      <w:r w:rsidR="006214C5" w:rsidRPr="006D0151">
        <w:rPr>
          <w:rFonts w:ascii="Arial" w:hAnsi="Arial" w:cs="Arial"/>
          <w:sz w:val="24"/>
          <w:szCs w:val="24"/>
        </w:rPr>
        <w:t>he regulations prohibit point-of-sale fees</w:t>
      </w:r>
      <w:r w:rsidR="00863677" w:rsidRPr="006D0151">
        <w:rPr>
          <w:rFonts w:ascii="Arial" w:hAnsi="Arial" w:cs="Arial"/>
          <w:sz w:val="24"/>
          <w:szCs w:val="24"/>
        </w:rPr>
        <w:t xml:space="preserve"> </w:t>
      </w:r>
      <w:r w:rsidR="006214C5" w:rsidRPr="006D0151">
        <w:rPr>
          <w:rFonts w:ascii="Arial" w:hAnsi="Arial" w:cs="Arial"/>
          <w:sz w:val="24"/>
          <w:szCs w:val="24"/>
        </w:rPr>
        <w:t xml:space="preserve">and overdraft fees and provide students with the ability to conveniently access their </w:t>
      </w:r>
      <w:r w:rsidR="009E21B9">
        <w:rPr>
          <w:rFonts w:ascii="Arial" w:hAnsi="Arial" w:cs="Arial"/>
          <w:sz w:val="24"/>
          <w:szCs w:val="24"/>
        </w:rPr>
        <w:t>Title IV credit balance funds</w:t>
      </w:r>
      <w:r w:rsidR="006214C5" w:rsidRPr="006D0151">
        <w:rPr>
          <w:rFonts w:ascii="Arial" w:hAnsi="Arial" w:cs="Arial"/>
          <w:sz w:val="24"/>
          <w:szCs w:val="24"/>
        </w:rPr>
        <w:t xml:space="preserve"> in part and in full through domestic withdrawals and transfers</w:t>
      </w:r>
      <w:r w:rsidR="00CC53E2" w:rsidRPr="006D0151">
        <w:rPr>
          <w:rFonts w:ascii="Arial" w:hAnsi="Arial" w:cs="Arial"/>
          <w:sz w:val="24"/>
          <w:szCs w:val="24"/>
        </w:rPr>
        <w:t xml:space="preserve"> </w:t>
      </w:r>
      <w:r w:rsidR="00AA71A2">
        <w:rPr>
          <w:rFonts w:ascii="Arial" w:hAnsi="Arial" w:cs="Arial"/>
          <w:sz w:val="24"/>
          <w:szCs w:val="24"/>
        </w:rPr>
        <w:t>while a student is enrolled at the institution</w:t>
      </w:r>
      <w:r w:rsidR="00E63C76">
        <w:rPr>
          <w:rFonts w:ascii="Arial" w:hAnsi="Arial" w:cs="Arial"/>
          <w:sz w:val="24"/>
          <w:szCs w:val="24"/>
        </w:rPr>
        <w:t xml:space="preserve"> without paying a fee</w:t>
      </w:r>
      <w:r w:rsidR="006214C5" w:rsidRPr="006D0151">
        <w:rPr>
          <w:rFonts w:ascii="Arial" w:hAnsi="Arial" w:cs="Arial"/>
          <w:sz w:val="24"/>
          <w:szCs w:val="24"/>
        </w:rPr>
        <w:t xml:space="preserve">.  </w:t>
      </w:r>
      <w:r w:rsidR="002B55AE" w:rsidRPr="006D0151">
        <w:rPr>
          <w:rFonts w:ascii="Arial" w:hAnsi="Arial" w:cs="Arial"/>
          <w:sz w:val="24"/>
          <w:szCs w:val="24"/>
        </w:rPr>
        <w:t>T</w:t>
      </w:r>
      <w:r w:rsidR="00863677" w:rsidRPr="006D0151">
        <w:rPr>
          <w:rFonts w:ascii="Arial" w:hAnsi="Arial" w:cs="Arial"/>
          <w:sz w:val="24"/>
          <w:szCs w:val="24"/>
        </w:rPr>
        <w:t xml:space="preserve">hey also prohibit fees for opening an account or obtaining an access device, regardless of whether the arrangement qualifies as a T1 or </w:t>
      </w:r>
      <w:r w:rsidR="002B55AE" w:rsidRPr="006D0151">
        <w:rPr>
          <w:rFonts w:ascii="Arial" w:hAnsi="Arial" w:cs="Arial"/>
          <w:sz w:val="24"/>
          <w:szCs w:val="24"/>
        </w:rPr>
        <w:t xml:space="preserve">a </w:t>
      </w:r>
      <w:r w:rsidR="00863677" w:rsidRPr="006D0151">
        <w:rPr>
          <w:rFonts w:ascii="Arial" w:hAnsi="Arial" w:cs="Arial"/>
          <w:sz w:val="24"/>
          <w:szCs w:val="24"/>
        </w:rPr>
        <w:t xml:space="preserve">T2 arrangement.  </w:t>
      </w:r>
      <w:r w:rsidR="006214C5" w:rsidRPr="006D0151">
        <w:rPr>
          <w:rFonts w:ascii="Arial" w:hAnsi="Arial" w:cs="Arial"/>
          <w:sz w:val="24"/>
          <w:szCs w:val="24"/>
        </w:rPr>
        <w:t xml:space="preserve">The regulations </w:t>
      </w:r>
      <w:r w:rsidR="00274BEC">
        <w:rPr>
          <w:rFonts w:ascii="Arial" w:hAnsi="Arial" w:cs="Arial"/>
          <w:sz w:val="24"/>
          <w:szCs w:val="24"/>
        </w:rPr>
        <w:t>require</w:t>
      </w:r>
      <w:r w:rsidR="00435A69">
        <w:rPr>
          <w:rFonts w:ascii="Arial" w:hAnsi="Arial" w:cs="Arial"/>
          <w:sz w:val="24"/>
          <w:szCs w:val="24"/>
        </w:rPr>
        <w:t xml:space="preserve"> that</w:t>
      </w:r>
      <w:r w:rsidR="00274BEC">
        <w:rPr>
          <w:rFonts w:ascii="Arial" w:hAnsi="Arial" w:cs="Arial"/>
          <w:sz w:val="24"/>
          <w:szCs w:val="24"/>
        </w:rPr>
        <w:t>,</w:t>
      </w:r>
      <w:r w:rsidR="006214C5" w:rsidRPr="006D0151">
        <w:rPr>
          <w:rFonts w:ascii="Arial" w:hAnsi="Arial" w:cs="Arial"/>
          <w:sz w:val="24"/>
          <w:szCs w:val="24"/>
        </w:rPr>
        <w:t xml:space="preserve"> for T1 arrangements and most T2 arrangements</w:t>
      </w:r>
      <w:r w:rsidR="00274BEC">
        <w:rPr>
          <w:rFonts w:ascii="Arial" w:hAnsi="Arial" w:cs="Arial"/>
          <w:sz w:val="24"/>
          <w:szCs w:val="24"/>
        </w:rPr>
        <w:t>,</w:t>
      </w:r>
      <w:r w:rsidR="006214C5" w:rsidRPr="006D0151">
        <w:rPr>
          <w:rFonts w:ascii="Arial" w:hAnsi="Arial" w:cs="Arial"/>
          <w:sz w:val="24"/>
          <w:szCs w:val="24"/>
        </w:rPr>
        <w:t xml:space="preserve"> </w:t>
      </w:r>
      <w:r w:rsidR="006D0151">
        <w:rPr>
          <w:rFonts w:ascii="Arial" w:hAnsi="Arial" w:cs="Arial"/>
          <w:sz w:val="24"/>
          <w:szCs w:val="24"/>
        </w:rPr>
        <w:t>Title</w:t>
      </w:r>
      <w:r w:rsidR="000D7048" w:rsidRPr="006D0151">
        <w:rPr>
          <w:rFonts w:ascii="Arial" w:hAnsi="Arial" w:cs="Arial"/>
          <w:sz w:val="24"/>
          <w:szCs w:val="24"/>
        </w:rPr>
        <w:t xml:space="preserve"> IV </w:t>
      </w:r>
      <w:r w:rsidR="006214C5" w:rsidRPr="006D0151">
        <w:rPr>
          <w:rFonts w:ascii="Arial" w:hAnsi="Arial" w:cs="Arial"/>
          <w:sz w:val="24"/>
          <w:szCs w:val="24"/>
        </w:rPr>
        <w:t xml:space="preserve">funds </w:t>
      </w:r>
      <w:r w:rsidR="000D7048" w:rsidRPr="006D0151">
        <w:rPr>
          <w:rFonts w:ascii="Arial" w:hAnsi="Arial" w:cs="Arial"/>
          <w:sz w:val="24"/>
          <w:szCs w:val="24"/>
        </w:rPr>
        <w:t>are</w:t>
      </w:r>
      <w:r w:rsidR="006214C5" w:rsidRPr="006D0151">
        <w:rPr>
          <w:rFonts w:ascii="Arial" w:hAnsi="Arial" w:cs="Arial"/>
          <w:sz w:val="24"/>
          <w:szCs w:val="24"/>
        </w:rPr>
        <w:t xml:space="preserve"> accessible through surcharge-free, in-network ATMs sufficient in number and housed and serviced such that the funds are reasonably available from them, including at the times the institution or its servicer makes direct payments into them.</w:t>
      </w:r>
      <w:r w:rsidR="00F06A21" w:rsidRPr="00F06A21">
        <w:rPr>
          <w:rFonts w:ascii="Arial" w:hAnsi="Arial" w:cs="Arial"/>
          <w:sz w:val="24"/>
          <w:szCs w:val="24"/>
        </w:rPr>
        <w:t xml:space="preserve"> [Guidance issued 5/</w:t>
      </w:r>
      <w:r w:rsidR="00DB1AEF">
        <w:rPr>
          <w:rFonts w:ascii="Arial" w:hAnsi="Arial" w:cs="Arial"/>
          <w:sz w:val="24"/>
          <w:szCs w:val="24"/>
        </w:rPr>
        <w:t>12</w:t>
      </w:r>
      <w:r w:rsidR="00F06A21" w:rsidRPr="00F06A21">
        <w:rPr>
          <w:rFonts w:ascii="Arial" w:hAnsi="Arial" w:cs="Arial"/>
          <w:sz w:val="24"/>
          <w:szCs w:val="24"/>
        </w:rPr>
        <w:t>/2016]</w:t>
      </w:r>
    </w:p>
    <w:p w14:paraId="4D068579" w14:textId="77777777" w:rsidR="000D7048" w:rsidRPr="006D0151" w:rsidRDefault="000D7048" w:rsidP="00FD61B6">
      <w:pPr>
        <w:autoSpaceDE w:val="0"/>
        <w:autoSpaceDN w:val="0"/>
        <w:adjustRightInd w:val="0"/>
        <w:spacing w:after="0" w:line="240" w:lineRule="auto"/>
        <w:rPr>
          <w:rFonts w:ascii="Arial" w:hAnsi="Arial" w:cs="Arial"/>
          <w:sz w:val="24"/>
          <w:szCs w:val="24"/>
        </w:rPr>
      </w:pPr>
    </w:p>
    <w:p w14:paraId="3EEE9BFA" w14:textId="4021C04D" w:rsidR="00D74C9A" w:rsidRPr="006D0151" w:rsidRDefault="00D74C9A" w:rsidP="00D74C9A">
      <w:pPr>
        <w:spacing w:after="0" w:line="240" w:lineRule="auto"/>
        <w:rPr>
          <w:rFonts w:ascii="Arial" w:hAnsi="Arial" w:cs="Arial"/>
          <w:sz w:val="24"/>
          <w:szCs w:val="24"/>
          <w:u w:val="single"/>
        </w:rPr>
      </w:pPr>
      <w:r w:rsidRPr="006D0151">
        <w:rPr>
          <w:rFonts w:ascii="Arial" w:hAnsi="Arial" w:cs="Arial"/>
          <w:sz w:val="24"/>
          <w:szCs w:val="24"/>
          <w:u w:val="single"/>
        </w:rPr>
        <w:t xml:space="preserve">FL Q2: How should </w:t>
      </w:r>
      <w:r w:rsidR="001E0BC0" w:rsidRPr="006D0151">
        <w:rPr>
          <w:rFonts w:ascii="Arial" w:hAnsi="Arial" w:cs="Arial"/>
          <w:sz w:val="24"/>
          <w:szCs w:val="24"/>
          <w:u w:val="single"/>
        </w:rPr>
        <w:t>institutions</w:t>
      </w:r>
      <w:r w:rsidRPr="006D0151">
        <w:rPr>
          <w:rFonts w:ascii="Arial" w:hAnsi="Arial" w:cs="Arial"/>
          <w:sz w:val="24"/>
          <w:szCs w:val="24"/>
          <w:u w:val="single"/>
        </w:rPr>
        <w:t xml:space="preserve"> with T1 relationships comply with </w:t>
      </w:r>
      <w:r w:rsidR="00CC53E2" w:rsidRPr="006D0151">
        <w:rPr>
          <w:rFonts w:ascii="Arial" w:hAnsi="Arial" w:cs="Arial"/>
          <w:sz w:val="24"/>
          <w:szCs w:val="24"/>
          <w:u w:val="single"/>
        </w:rPr>
        <w:t xml:space="preserve">the </w:t>
      </w:r>
      <w:r w:rsidRPr="006D0151">
        <w:rPr>
          <w:rFonts w:ascii="Arial" w:hAnsi="Arial" w:cs="Arial"/>
          <w:sz w:val="24"/>
          <w:szCs w:val="24"/>
          <w:u w:val="single"/>
        </w:rPr>
        <w:t>requirement</w:t>
      </w:r>
      <w:r w:rsidR="00CC53E2" w:rsidRPr="006D0151">
        <w:rPr>
          <w:rFonts w:ascii="Arial" w:hAnsi="Arial" w:cs="Arial"/>
          <w:sz w:val="24"/>
          <w:szCs w:val="24"/>
          <w:u w:val="single"/>
        </w:rPr>
        <w:t xml:space="preserve"> of fee</w:t>
      </w:r>
      <w:r w:rsidR="00346C28" w:rsidRPr="006D0151">
        <w:rPr>
          <w:rFonts w:ascii="Arial" w:hAnsi="Arial" w:cs="Arial"/>
          <w:sz w:val="24"/>
          <w:szCs w:val="24"/>
          <w:u w:val="single"/>
        </w:rPr>
        <w:t>-</w:t>
      </w:r>
      <w:r w:rsidR="00CC53E2" w:rsidRPr="006D0151">
        <w:rPr>
          <w:rFonts w:ascii="Arial" w:hAnsi="Arial" w:cs="Arial"/>
          <w:sz w:val="24"/>
          <w:szCs w:val="24"/>
          <w:u w:val="single"/>
        </w:rPr>
        <w:t>free withdrawal throughout enrollment</w:t>
      </w:r>
      <w:r w:rsidRPr="006D0151">
        <w:rPr>
          <w:rFonts w:ascii="Arial" w:hAnsi="Arial" w:cs="Arial"/>
          <w:sz w:val="24"/>
          <w:szCs w:val="24"/>
          <w:u w:val="single"/>
        </w:rPr>
        <w:t>?</w:t>
      </w:r>
    </w:p>
    <w:p w14:paraId="14FCC222" w14:textId="77777777" w:rsidR="0013775A" w:rsidRPr="006D0151" w:rsidRDefault="0013775A" w:rsidP="00D74C9A">
      <w:pPr>
        <w:spacing w:after="0" w:line="240" w:lineRule="auto"/>
        <w:rPr>
          <w:rFonts w:ascii="Arial" w:hAnsi="Arial" w:cs="Arial"/>
          <w:sz w:val="24"/>
          <w:szCs w:val="24"/>
          <w:u w:val="single"/>
        </w:rPr>
      </w:pPr>
    </w:p>
    <w:p w14:paraId="62E293E5" w14:textId="57BEF95A" w:rsidR="00D74C9A" w:rsidRPr="006D0151" w:rsidRDefault="00D74C9A" w:rsidP="00D74C9A">
      <w:pPr>
        <w:spacing w:after="0" w:line="240" w:lineRule="auto"/>
        <w:rPr>
          <w:rFonts w:ascii="Arial" w:hAnsi="Arial" w:cs="Arial"/>
          <w:sz w:val="24"/>
          <w:szCs w:val="24"/>
        </w:rPr>
      </w:pPr>
      <w:r w:rsidRPr="006D0151">
        <w:rPr>
          <w:rFonts w:ascii="Arial" w:hAnsi="Arial" w:cs="Arial"/>
          <w:sz w:val="24"/>
          <w:szCs w:val="24"/>
        </w:rPr>
        <w:t>FL A2:</w:t>
      </w:r>
      <w:r w:rsidR="00607E3D" w:rsidRPr="006D0151">
        <w:rPr>
          <w:rFonts w:ascii="Arial" w:hAnsi="Arial" w:cs="Arial"/>
          <w:sz w:val="24"/>
          <w:szCs w:val="24"/>
        </w:rPr>
        <w:t xml:space="preserve"> Institutions </w:t>
      </w:r>
      <w:r w:rsidRPr="006D0151">
        <w:rPr>
          <w:rFonts w:ascii="Arial" w:hAnsi="Arial" w:cs="Arial"/>
          <w:sz w:val="24"/>
          <w:szCs w:val="24"/>
        </w:rPr>
        <w:t xml:space="preserve">may use whatever method they wish (check, cash, EFT, etc.) to comply with the requirement that a student </w:t>
      </w:r>
      <w:r w:rsidR="002367DC" w:rsidRPr="006D0151">
        <w:rPr>
          <w:rFonts w:ascii="Arial" w:hAnsi="Arial" w:cs="Arial"/>
          <w:sz w:val="24"/>
          <w:szCs w:val="24"/>
        </w:rPr>
        <w:t>ha</w:t>
      </w:r>
      <w:r w:rsidR="002B55AE" w:rsidRPr="006D0151">
        <w:rPr>
          <w:rFonts w:ascii="Arial" w:hAnsi="Arial" w:cs="Arial"/>
          <w:sz w:val="24"/>
          <w:szCs w:val="24"/>
        </w:rPr>
        <w:t>ve</w:t>
      </w:r>
      <w:r w:rsidRPr="006D0151">
        <w:rPr>
          <w:rFonts w:ascii="Arial" w:hAnsi="Arial" w:cs="Arial"/>
          <w:sz w:val="24"/>
          <w:szCs w:val="24"/>
        </w:rPr>
        <w:t xml:space="preserve"> a convenient way to withdraw </w:t>
      </w:r>
      <w:r w:rsidR="002B55AE" w:rsidRPr="006D0151">
        <w:rPr>
          <w:rFonts w:ascii="Arial" w:hAnsi="Arial" w:cs="Arial"/>
          <w:sz w:val="24"/>
          <w:szCs w:val="24"/>
        </w:rPr>
        <w:t>his or her</w:t>
      </w:r>
      <w:r w:rsidRPr="006D0151">
        <w:rPr>
          <w:rFonts w:ascii="Arial" w:hAnsi="Arial" w:cs="Arial"/>
          <w:sz w:val="24"/>
          <w:szCs w:val="24"/>
        </w:rPr>
        <w:t xml:space="preserve"> </w:t>
      </w:r>
      <w:r w:rsidR="006D0151">
        <w:rPr>
          <w:rFonts w:ascii="Arial" w:hAnsi="Arial" w:cs="Arial"/>
          <w:sz w:val="24"/>
          <w:szCs w:val="24"/>
        </w:rPr>
        <w:t>Title</w:t>
      </w:r>
      <w:r w:rsidRPr="006D0151">
        <w:rPr>
          <w:rFonts w:ascii="Arial" w:hAnsi="Arial" w:cs="Arial"/>
          <w:sz w:val="24"/>
          <w:szCs w:val="24"/>
        </w:rPr>
        <w:t xml:space="preserve"> IV funds in whole or in part, as long as the student does not incur a fee when exercising this option.</w:t>
      </w:r>
      <w:r w:rsidR="00F06A21" w:rsidRPr="00F06A21">
        <w:rPr>
          <w:rFonts w:ascii="Arial" w:hAnsi="Arial" w:cs="Arial"/>
          <w:sz w:val="24"/>
          <w:szCs w:val="24"/>
        </w:rPr>
        <w:t>[Guidance issued 5/</w:t>
      </w:r>
      <w:r w:rsidR="00DB1AEF">
        <w:rPr>
          <w:rFonts w:ascii="Arial" w:hAnsi="Arial" w:cs="Arial"/>
          <w:sz w:val="24"/>
          <w:szCs w:val="24"/>
        </w:rPr>
        <w:t>12</w:t>
      </w:r>
      <w:r w:rsidR="00F06A21" w:rsidRPr="00F06A21">
        <w:rPr>
          <w:rFonts w:ascii="Arial" w:hAnsi="Arial" w:cs="Arial"/>
          <w:sz w:val="24"/>
          <w:szCs w:val="24"/>
        </w:rPr>
        <w:t>/2016]</w:t>
      </w:r>
    </w:p>
    <w:p w14:paraId="6DA8473A" w14:textId="405389F7" w:rsidR="00FD61B6" w:rsidRPr="006D0151" w:rsidRDefault="00FD61B6" w:rsidP="001D15C8">
      <w:pPr>
        <w:autoSpaceDE w:val="0"/>
        <w:autoSpaceDN w:val="0"/>
        <w:adjustRightInd w:val="0"/>
        <w:spacing w:after="0" w:line="240" w:lineRule="auto"/>
        <w:rPr>
          <w:rFonts w:ascii="Arial" w:hAnsi="Arial" w:cs="Arial"/>
          <w:sz w:val="24"/>
          <w:szCs w:val="24"/>
        </w:rPr>
      </w:pPr>
    </w:p>
    <w:p w14:paraId="44A9336E" w14:textId="77777777" w:rsidR="00DB2B2F" w:rsidRPr="006D0151" w:rsidRDefault="00DB2B2F" w:rsidP="001D15C8">
      <w:pPr>
        <w:autoSpaceDE w:val="0"/>
        <w:autoSpaceDN w:val="0"/>
        <w:adjustRightInd w:val="0"/>
        <w:spacing w:after="0" w:line="240" w:lineRule="auto"/>
        <w:rPr>
          <w:rFonts w:ascii="Arial" w:hAnsi="Arial" w:cs="Arial"/>
          <w:sz w:val="24"/>
          <w:szCs w:val="24"/>
        </w:rPr>
      </w:pPr>
    </w:p>
    <w:p w14:paraId="523431BE" w14:textId="4A5A0977" w:rsidR="00994339" w:rsidRPr="006D0151" w:rsidRDefault="00994339" w:rsidP="00FD61B6">
      <w:pPr>
        <w:spacing w:after="0" w:line="240" w:lineRule="auto"/>
        <w:rPr>
          <w:rFonts w:ascii="Arial" w:hAnsi="Arial" w:cs="Arial"/>
          <w:b/>
          <w:sz w:val="24"/>
          <w:szCs w:val="24"/>
        </w:rPr>
      </w:pPr>
      <w:r w:rsidRPr="006D0151">
        <w:rPr>
          <w:rFonts w:ascii="Arial" w:hAnsi="Arial" w:cs="Arial"/>
          <w:b/>
          <w:sz w:val="24"/>
          <w:szCs w:val="24"/>
        </w:rPr>
        <w:t>Disclosure Requirements (DR)</w:t>
      </w:r>
    </w:p>
    <w:p w14:paraId="38201ABB" w14:textId="77777777" w:rsidR="00994339" w:rsidRPr="006D0151" w:rsidRDefault="00994339" w:rsidP="00FD61B6">
      <w:pPr>
        <w:spacing w:after="0" w:line="240" w:lineRule="auto"/>
        <w:rPr>
          <w:rFonts w:ascii="Arial" w:hAnsi="Arial" w:cs="Arial"/>
          <w:sz w:val="24"/>
          <w:szCs w:val="24"/>
          <w:u w:val="single"/>
        </w:rPr>
      </w:pPr>
    </w:p>
    <w:p w14:paraId="79150131" w14:textId="66A69E0D" w:rsidR="006214C5" w:rsidRPr="006D0151" w:rsidRDefault="00F83CEE" w:rsidP="00FD61B6">
      <w:pPr>
        <w:spacing w:after="0" w:line="240" w:lineRule="auto"/>
        <w:rPr>
          <w:rFonts w:ascii="Arial" w:hAnsi="Arial" w:cs="Arial"/>
          <w:sz w:val="24"/>
          <w:szCs w:val="24"/>
          <w:u w:val="single"/>
        </w:rPr>
      </w:pPr>
      <w:r w:rsidRPr="006D0151">
        <w:rPr>
          <w:rFonts w:ascii="Arial" w:hAnsi="Arial" w:cs="Arial"/>
          <w:sz w:val="24"/>
          <w:szCs w:val="24"/>
          <w:u w:val="single"/>
        </w:rPr>
        <w:t xml:space="preserve">DR Q1: </w:t>
      </w:r>
      <w:r w:rsidR="006214C5" w:rsidRPr="006D0151">
        <w:rPr>
          <w:rFonts w:ascii="Arial" w:hAnsi="Arial" w:cs="Arial"/>
          <w:sz w:val="24"/>
          <w:szCs w:val="24"/>
          <w:u w:val="single"/>
        </w:rPr>
        <w:t xml:space="preserve">What disclosure requirements do the regulations establish </w:t>
      </w:r>
      <w:r w:rsidR="00346C28" w:rsidRPr="006D0151">
        <w:rPr>
          <w:rFonts w:ascii="Arial" w:hAnsi="Arial" w:cs="Arial"/>
          <w:sz w:val="24"/>
          <w:szCs w:val="24"/>
          <w:u w:val="single"/>
        </w:rPr>
        <w:t xml:space="preserve">with respect to </w:t>
      </w:r>
      <w:r w:rsidR="00CC53E2" w:rsidRPr="006D0151">
        <w:rPr>
          <w:rFonts w:ascii="Arial" w:hAnsi="Arial" w:cs="Arial"/>
          <w:sz w:val="24"/>
          <w:szCs w:val="24"/>
          <w:u w:val="single"/>
        </w:rPr>
        <w:t xml:space="preserve">financial accounts provided pursuant to </w:t>
      </w:r>
      <w:r w:rsidR="006214C5" w:rsidRPr="006D0151">
        <w:rPr>
          <w:rFonts w:ascii="Arial" w:hAnsi="Arial" w:cs="Arial"/>
          <w:sz w:val="24"/>
          <w:szCs w:val="24"/>
          <w:u w:val="single"/>
        </w:rPr>
        <w:t>T1 and T2 arrangements?</w:t>
      </w:r>
    </w:p>
    <w:p w14:paraId="3FB04454" w14:textId="77777777" w:rsidR="0013775A" w:rsidRPr="006D0151" w:rsidRDefault="0013775A" w:rsidP="00FD61B6">
      <w:pPr>
        <w:spacing w:after="0" w:line="240" w:lineRule="auto"/>
        <w:rPr>
          <w:rFonts w:ascii="Arial" w:hAnsi="Arial" w:cs="Arial"/>
          <w:sz w:val="24"/>
          <w:szCs w:val="24"/>
          <w:u w:val="single"/>
        </w:rPr>
      </w:pPr>
    </w:p>
    <w:p w14:paraId="1B0022C0" w14:textId="07F47CCF" w:rsidR="00A300F8" w:rsidRPr="006D0151" w:rsidRDefault="00F83CEE" w:rsidP="00FD61B6">
      <w:pPr>
        <w:spacing w:after="0" w:line="240" w:lineRule="auto"/>
        <w:rPr>
          <w:rFonts w:ascii="Arial" w:hAnsi="Arial" w:cs="Arial"/>
          <w:sz w:val="24"/>
          <w:szCs w:val="24"/>
        </w:rPr>
      </w:pPr>
      <w:r w:rsidRPr="006D0151">
        <w:rPr>
          <w:rFonts w:ascii="Arial" w:hAnsi="Arial" w:cs="Arial"/>
          <w:sz w:val="24"/>
          <w:szCs w:val="24"/>
        </w:rPr>
        <w:t>DR</w:t>
      </w:r>
      <w:r w:rsidR="009E16AC" w:rsidRPr="006D0151">
        <w:rPr>
          <w:rFonts w:ascii="Arial" w:hAnsi="Arial" w:cs="Arial"/>
          <w:sz w:val="24"/>
          <w:szCs w:val="24"/>
        </w:rPr>
        <w:t xml:space="preserve"> A</w:t>
      </w:r>
      <w:r w:rsidRPr="006D0151">
        <w:rPr>
          <w:rFonts w:ascii="Arial" w:hAnsi="Arial" w:cs="Arial"/>
          <w:sz w:val="24"/>
          <w:szCs w:val="24"/>
        </w:rPr>
        <w:t>1:</w:t>
      </w:r>
      <w:r w:rsidR="00DC2F50" w:rsidRPr="006D0151">
        <w:rPr>
          <w:rFonts w:ascii="Arial" w:hAnsi="Arial" w:cs="Arial"/>
          <w:sz w:val="24"/>
          <w:szCs w:val="24"/>
        </w:rPr>
        <w:t xml:space="preserve"> </w:t>
      </w:r>
      <w:r w:rsidR="006214C5" w:rsidRPr="006D0151">
        <w:rPr>
          <w:rFonts w:ascii="Arial" w:hAnsi="Arial" w:cs="Arial"/>
          <w:sz w:val="24"/>
          <w:szCs w:val="24"/>
        </w:rPr>
        <w:t>Institutions that enter into T1 arrangements will be required to post the</w:t>
      </w:r>
      <w:r w:rsidR="008B60A3">
        <w:rPr>
          <w:rFonts w:ascii="Arial" w:hAnsi="Arial" w:cs="Arial"/>
          <w:sz w:val="24"/>
          <w:szCs w:val="24"/>
        </w:rPr>
        <w:t>ir</w:t>
      </w:r>
      <w:r w:rsidR="006214C5" w:rsidRPr="006D0151">
        <w:rPr>
          <w:rFonts w:ascii="Arial" w:hAnsi="Arial" w:cs="Arial"/>
          <w:sz w:val="24"/>
          <w:szCs w:val="24"/>
        </w:rPr>
        <w:t xml:space="preserve"> </w:t>
      </w:r>
      <w:r w:rsidR="00CC53E2" w:rsidRPr="006D0151">
        <w:rPr>
          <w:rFonts w:ascii="Arial" w:hAnsi="Arial" w:cs="Arial"/>
          <w:sz w:val="24"/>
          <w:szCs w:val="24"/>
        </w:rPr>
        <w:t>T1</w:t>
      </w:r>
      <w:r w:rsidR="00A300F8" w:rsidRPr="006D0151">
        <w:rPr>
          <w:rFonts w:ascii="Arial" w:hAnsi="Arial" w:cs="Arial"/>
          <w:sz w:val="24"/>
          <w:szCs w:val="24"/>
        </w:rPr>
        <w:t xml:space="preserve"> contract</w:t>
      </w:r>
      <w:r w:rsidR="008B60A3">
        <w:rPr>
          <w:rFonts w:ascii="Arial" w:hAnsi="Arial" w:cs="Arial"/>
          <w:sz w:val="24"/>
          <w:szCs w:val="24"/>
        </w:rPr>
        <w:t>(s)</w:t>
      </w:r>
      <w:r w:rsidR="00CC53E2" w:rsidRPr="006D0151">
        <w:rPr>
          <w:rFonts w:ascii="Arial" w:hAnsi="Arial" w:cs="Arial"/>
          <w:sz w:val="24"/>
          <w:szCs w:val="24"/>
        </w:rPr>
        <w:t xml:space="preserve"> </w:t>
      </w:r>
      <w:r w:rsidR="006214C5" w:rsidRPr="006D0151">
        <w:rPr>
          <w:rFonts w:ascii="Arial" w:hAnsi="Arial" w:cs="Arial"/>
          <w:sz w:val="24"/>
          <w:szCs w:val="24"/>
        </w:rPr>
        <w:t>to their website</w:t>
      </w:r>
      <w:r w:rsidR="00CC53E2" w:rsidRPr="006D0151">
        <w:rPr>
          <w:rFonts w:ascii="Arial" w:hAnsi="Arial" w:cs="Arial"/>
          <w:sz w:val="24"/>
          <w:szCs w:val="24"/>
        </w:rPr>
        <w:t>s</w:t>
      </w:r>
      <w:r w:rsidR="006214C5" w:rsidRPr="006D0151">
        <w:rPr>
          <w:rFonts w:ascii="Arial" w:hAnsi="Arial" w:cs="Arial"/>
          <w:sz w:val="24"/>
          <w:szCs w:val="24"/>
        </w:rPr>
        <w:t xml:space="preserve"> (with certain personal and security information redacted). </w:t>
      </w:r>
      <w:r w:rsidR="008B7451" w:rsidRPr="006D0151">
        <w:rPr>
          <w:rFonts w:ascii="Arial" w:hAnsi="Arial" w:cs="Arial"/>
          <w:sz w:val="24"/>
          <w:szCs w:val="24"/>
        </w:rPr>
        <w:t xml:space="preserve"> </w:t>
      </w:r>
      <w:r w:rsidR="006214C5" w:rsidRPr="006D0151">
        <w:rPr>
          <w:rFonts w:ascii="Arial" w:hAnsi="Arial" w:cs="Arial"/>
          <w:sz w:val="24"/>
          <w:szCs w:val="24"/>
        </w:rPr>
        <w:t xml:space="preserve">Institutions with T1 arrangements </w:t>
      </w:r>
      <w:r w:rsidR="002367DC" w:rsidRPr="006D0151">
        <w:rPr>
          <w:rFonts w:ascii="Arial" w:hAnsi="Arial" w:cs="Arial"/>
          <w:sz w:val="24"/>
          <w:szCs w:val="24"/>
        </w:rPr>
        <w:t xml:space="preserve">also </w:t>
      </w:r>
      <w:r w:rsidR="006214C5" w:rsidRPr="006D0151">
        <w:rPr>
          <w:rFonts w:ascii="Arial" w:hAnsi="Arial" w:cs="Arial"/>
          <w:sz w:val="24"/>
          <w:szCs w:val="24"/>
        </w:rPr>
        <w:t xml:space="preserve">will be required to post </w:t>
      </w:r>
      <w:r w:rsidR="008B7451" w:rsidRPr="006D0151">
        <w:rPr>
          <w:rFonts w:ascii="Arial" w:hAnsi="Arial" w:cs="Arial"/>
          <w:sz w:val="24"/>
          <w:szCs w:val="24"/>
        </w:rPr>
        <w:t>annually</w:t>
      </w:r>
      <w:r w:rsidR="00A300F8" w:rsidRPr="006D0151">
        <w:rPr>
          <w:rFonts w:ascii="Arial" w:hAnsi="Arial" w:cs="Arial"/>
          <w:sz w:val="24"/>
          <w:szCs w:val="24"/>
        </w:rPr>
        <w:t>,</w:t>
      </w:r>
      <w:r w:rsidR="006214C5" w:rsidRPr="006D0151">
        <w:rPr>
          <w:rFonts w:ascii="Arial" w:hAnsi="Arial" w:cs="Arial"/>
          <w:sz w:val="24"/>
          <w:szCs w:val="24"/>
        </w:rPr>
        <w:t xml:space="preserve"> </w:t>
      </w:r>
      <w:r w:rsidR="00857C64" w:rsidRPr="006D0151">
        <w:rPr>
          <w:rFonts w:ascii="Arial" w:hAnsi="Arial" w:cs="Arial"/>
          <w:sz w:val="24"/>
          <w:szCs w:val="24"/>
        </w:rPr>
        <w:t xml:space="preserve">in a format </w:t>
      </w:r>
      <w:r w:rsidR="008B60A3">
        <w:rPr>
          <w:rFonts w:ascii="Arial" w:hAnsi="Arial" w:cs="Arial"/>
          <w:sz w:val="24"/>
          <w:szCs w:val="24"/>
        </w:rPr>
        <w:t xml:space="preserve">to be </w:t>
      </w:r>
      <w:r w:rsidR="00857C64" w:rsidRPr="006D0151">
        <w:rPr>
          <w:rFonts w:ascii="Arial" w:hAnsi="Arial" w:cs="Arial"/>
          <w:sz w:val="24"/>
          <w:szCs w:val="24"/>
        </w:rPr>
        <w:t>established by the Secretary</w:t>
      </w:r>
      <w:r w:rsidR="00A300F8" w:rsidRPr="006D0151">
        <w:rPr>
          <w:rFonts w:ascii="Arial" w:hAnsi="Arial" w:cs="Arial"/>
          <w:sz w:val="24"/>
          <w:szCs w:val="24"/>
        </w:rPr>
        <w:t>,</w:t>
      </w:r>
      <w:r w:rsidR="00857C64" w:rsidRPr="006D0151">
        <w:rPr>
          <w:rFonts w:ascii="Arial" w:hAnsi="Arial" w:cs="Arial"/>
          <w:sz w:val="24"/>
          <w:szCs w:val="24"/>
        </w:rPr>
        <w:t xml:space="preserve"> the total consideration paid or received by the parties under the contract, </w:t>
      </w:r>
      <w:r w:rsidR="006214C5" w:rsidRPr="006D0151">
        <w:rPr>
          <w:rFonts w:ascii="Arial" w:hAnsi="Arial" w:cs="Arial"/>
          <w:sz w:val="24"/>
          <w:szCs w:val="24"/>
        </w:rPr>
        <w:t>the mean and median costs th</w:t>
      </w:r>
      <w:r w:rsidR="008B60A3">
        <w:rPr>
          <w:rFonts w:ascii="Arial" w:hAnsi="Arial" w:cs="Arial"/>
          <w:sz w:val="24"/>
          <w:szCs w:val="24"/>
        </w:rPr>
        <w:t xml:space="preserve">at </w:t>
      </w:r>
      <w:r w:rsidR="00857C64" w:rsidRPr="006D0151">
        <w:rPr>
          <w:rFonts w:ascii="Arial" w:hAnsi="Arial" w:cs="Arial"/>
          <w:sz w:val="24"/>
          <w:szCs w:val="24"/>
        </w:rPr>
        <w:t>student account holders</w:t>
      </w:r>
      <w:r w:rsidR="006214C5" w:rsidRPr="006D0151">
        <w:rPr>
          <w:rFonts w:ascii="Arial" w:hAnsi="Arial" w:cs="Arial"/>
          <w:sz w:val="24"/>
          <w:szCs w:val="24"/>
        </w:rPr>
        <w:t xml:space="preserve"> incur</w:t>
      </w:r>
      <w:r w:rsidR="00ED0732">
        <w:rPr>
          <w:rFonts w:ascii="Arial" w:hAnsi="Arial" w:cs="Arial"/>
          <w:sz w:val="24"/>
          <w:szCs w:val="24"/>
        </w:rPr>
        <w:t>red</w:t>
      </w:r>
      <w:r w:rsidR="00635EAF">
        <w:rPr>
          <w:rFonts w:ascii="Arial" w:hAnsi="Arial" w:cs="Arial"/>
          <w:sz w:val="24"/>
          <w:szCs w:val="24"/>
        </w:rPr>
        <w:t>, and</w:t>
      </w:r>
      <w:r w:rsidR="00635EAF" w:rsidRPr="00635EAF">
        <w:rPr>
          <w:rFonts w:ascii="Arial" w:hAnsi="Arial" w:cs="Arial"/>
          <w:sz w:val="24"/>
          <w:szCs w:val="24"/>
        </w:rPr>
        <w:t xml:space="preserve"> </w:t>
      </w:r>
      <w:r w:rsidR="00635EAF" w:rsidRPr="006D0151">
        <w:rPr>
          <w:rFonts w:ascii="Arial" w:hAnsi="Arial" w:cs="Arial"/>
          <w:sz w:val="24"/>
          <w:szCs w:val="24"/>
        </w:rPr>
        <w:t>the number of student account holders</w:t>
      </w:r>
      <w:r w:rsidR="00635EAF">
        <w:rPr>
          <w:rFonts w:ascii="Arial" w:hAnsi="Arial" w:cs="Arial"/>
          <w:sz w:val="24"/>
          <w:szCs w:val="24"/>
        </w:rPr>
        <w:t xml:space="preserve"> for whom these mean and median costs were calculated</w:t>
      </w:r>
      <w:r w:rsidR="006214C5" w:rsidRPr="006D0151">
        <w:rPr>
          <w:rFonts w:ascii="Arial" w:hAnsi="Arial" w:cs="Arial"/>
          <w:sz w:val="24"/>
          <w:szCs w:val="24"/>
        </w:rPr>
        <w:t xml:space="preserve">. </w:t>
      </w:r>
      <w:r w:rsidR="00730781" w:rsidRPr="006D0151">
        <w:rPr>
          <w:rFonts w:ascii="Arial" w:hAnsi="Arial" w:cs="Arial"/>
          <w:sz w:val="24"/>
          <w:szCs w:val="24"/>
        </w:rPr>
        <w:t xml:space="preserve">Institutions must send the URL for the contract and contract data to the </w:t>
      </w:r>
      <w:r w:rsidR="002367DC" w:rsidRPr="006D0151">
        <w:rPr>
          <w:rFonts w:ascii="Arial" w:hAnsi="Arial" w:cs="Arial"/>
          <w:sz w:val="24"/>
          <w:szCs w:val="24"/>
        </w:rPr>
        <w:t>Department</w:t>
      </w:r>
      <w:r w:rsidR="008B60A3">
        <w:rPr>
          <w:rFonts w:ascii="Arial" w:hAnsi="Arial" w:cs="Arial"/>
          <w:sz w:val="24"/>
          <w:szCs w:val="24"/>
        </w:rPr>
        <w:t xml:space="preserve"> for the Depar</w:t>
      </w:r>
      <w:r w:rsidR="00ED0732">
        <w:rPr>
          <w:rFonts w:ascii="Arial" w:hAnsi="Arial" w:cs="Arial"/>
          <w:sz w:val="24"/>
          <w:szCs w:val="24"/>
        </w:rPr>
        <w:t>t</w:t>
      </w:r>
      <w:r w:rsidR="008B60A3">
        <w:rPr>
          <w:rFonts w:ascii="Arial" w:hAnsi="Arial" w:cs="Arial"/>
          <w:sz w:val="24"/>
          <w:szCs w:val="24"/>
        </w:rPr>
        <w:t>ment to make publically available.</w:t>
      </w:r>
      <w:r w:rsidR="00730781" w:rsidRPr="006D0151">
        <w:rPr>
          <w:rFonts w:ascii="Arial" w:hAnsi="Arial" w:cs="Arial"/>
          <w:sz w:val="24"/>
          <w:szCs w:val="24"/>
        </w:rPr>
        <w:t xml:space="preserve"> </w:t>
      </w:r>
    </w:p>
    <w:p w14:paraId="4FA997B1" w14:textId="77777777" w:rsidR="00A300F8" w:rsidRPr="006D0151" w:rsidRDefault="00A300F8" w:rsidP="00FD61B6">
      <w:pPr>
        <w:spacing w:after="0" w:line="240" w:lineRule="auto"/>
        <w:rPr>
          <w:rFonts w:ascii="Arial" w:hAnsi="Arial" w:cs="Arial"/>
          <w:sz w:val="24"/>
          <w:szCs w:val="24"/>
        </w:rPr>
      </w:pPr>
    </w:p>
    <w:p w14:paraId="79150132" w14:textId="068D94D3" w:rsidR="008A372F" w:rsidRPr="006D0151" w:rsidRDefault="006214C5" w:rsidP="00FD61B6">
      <w:pPr>
        <w:spacing w:after="0" w:line="240" w:lineRule="auto"/>
        <w:rPr>
          <w:rFonts w:ascii="Arial" w:hAnsi="Arial" w:cs="Arial"/>
          <w:sz w:val="24"/>
          <w:szCs w:val="24"/>
        </w:rPr>
      </w:pPr>
      <w:r w:rsidRPr="006D0151">
        <w:rPr>
          <w:rFonts w:ascii="Arial" w:hAnsi="Arial" w:cs="Arial"/>
          <w:sz w:val="24"/>
          <w:szCs w:val="24"/>
        </w:rPr>
        <w:t xml:space="preserve">Institutions with T2 arrangements </w:t>
      </w:r>
      <w:r w:rsidR="00AA20CA" w:rsidRPr="006D0151">
        <w:rPr>
          <w:rFonts w:ascii="Arial" w:hAnsi="Arial" w:cs="Arial"/>
          <w:sz w:val="24"/>
          <w:szCs w:val="24"/>
        </w:rPr>
        <w:t>that</w:t>
      </w:r>
      <w:r w:rsidRPr="006D0151">
        <w:rPr>
          <w:rFonts w:ascii="Arial" w:hAnsi="Arial" w:cs="Arial"/>
          <w:sz w:val="24"/>
          <w:szCs w:val="24"/>
        </w:rPr>
        <w:t xml:space="preserve"> enroll at least one student who receive</w:t>
      </w:r>
      <w:r w:rsidR="00D67D87">
        <w:rPr>
          <w:rFonts w:ascii="Arial" w:hAnsi="Arial" w:cs="Arial"/>
          <w:sz w:val="24"/>
          <w:szCs w:val="24"/>
        </w:rPr>
        <w:t>d</w:t>
      </w:r>
      <w:r w:rsidRPr="006D0151">
        <w:rPr>
          <w:rFonts w:ascii="Arial" w:hAnsi="Arial" w:cs="Arial"/>
          <w:sz w:val="24"/>
          <w:szCs w:val="24"/>
        </w:rPr>
        <w:t xml:space="preserve"> a </w:t>
      </w:r>
      <w:r w:rsidR="00D67D87">
        <w:rPr>
          <w:rFonts w:ascii="Arial" w:hAnsi="Arial" w:cs="Arial"/>
          <w:sz w:val="24"/>
          <w:szCs w:val="24"/>
        </w:rPr>
        <w:t xml:space="preserve">Title IV </w:t>
      </w:r>
      <w:r w:rsidRPr="006D0151">
        <w:rPr>
          <w:rFonts w:ascii="Arial" w:hAnsi="Arial" w:cs="Arial"/>
          <w:sz w:val="24"/>
          <w:szCs w:val="24"/>
        </w:rPr>
        <w:t xml:space="preserve">credit balance in each of the three most recent </w:t>
      </w:r>
      <w:r w:rsidR="00A300F8" w:rsidRPr="006D0151">
        <w:rPr>
          <w:rFonts w:ascii="Arial" w:hAnsi="Arial" w:cs="Arial"/>
          <w:sz w:val="24"/>
          <w:szCs w:val="24"/>
        </w:rPr>
        <w:t xml:space="preserve">award </w:t>
      </w:r>
      <w:r w:rsidRPr="006D0151">
        <w:rPr>
          <w:rFonts w:ascii="Arial" w:hAnsi="Arial" w:cs="Arial"/>
          <w:sz w:val="24"/>
          <w:szCs w:val="24"/>
        </w:rPr>
        <w:t xml:space="preserve">years </w:t>
      </w:r>
      <w:r w:rsidR="002367DC" w:rsidRPr="006D0151">
        <w:rPr>
          <w:rFonts w:ascii="Arial" w:hAnsi="Arial" w:cs="Arial"/>
          <w:sz w:val="24"/>
          <w:szCs w:val="24"/>
        </w:rPr>
        <w:t xml:space="preserve">also </w:t>
      </w:r>
      <w:r w:rsidRPr="006D0151">
        <w:rPr>
          <w:rFonts w:ascii="Arial" w:hAnsi="Arial" w:cs="Arial"/>
          <w:sz w:val="24"/>
          <w:szCs w:val="24"/>
        </w:rPr>
        <w:t>will be required to disclose the contract</w:t>
      </w:r>
      <w:r w:rsidR="005012BF" w:rsidRPr="006D0151">
        <w:rPr>
          <w:rFonts w:ascii="Arial" w:hAnsi="Arial" w:cs="Arial"/>
          <w:sz w:val="24"/>
          <w:szCs w:val="24"/>
        </w:rPr>
        <w:t xml:space="preserve"> and send the related URL to the Department</w:t>
      </w:r>
      <w:r w:rsidRPr="006D0151">
        <w:rPr>
          <w:rFonts w:ascii="Arial" w:hAnsi="Arial" w:cs="Arial"/>
          <w:sz w:val="24"/>
          <w:szCs w:val="24"/>
        </w:rPr>
        <w:t xml:space="preserve">.  Institutions that have a T2 arrangement and </w:t>
      </w:r>
      <w:r w:rsidR="002B55AE" w:rsidRPr="006D0151">
        <w:rPr>
          <w:rFonts w:ascii="Arial" w:hAnsi="Arial" w:cs="Arial"/>
          <w:sz w:val="24"/>
          <w:szCs w:val="24"/>
        </w:rPr>
        <w:t xml:space="preserve">on average </w:t>
      </w:r>
      <w:r w:rsidR="00D67D87">
        <w:rPr>
          <w:rFonts w:ascii="Arial" w:hAnsi="Arial" w:cs="Arial"/>
          <w:sz w:val="24"/>
          <w:szCs w:val="24"/>
        </w:rPr>
        <w:t>have</w:t>
      </w:r>
      <w:r w:rsidRPr="006D0151">
        <w:rPr>
          <w:rFonts w:ascii="Arial" w:hAnsi="Arial" w:cs="Arial"/>
          <w:sz w:val="24"/>
          <w:szCs w:val="24"/>
        </w:rPr>
        <w:t xml:space="preserve"> </w:t>
      </w:r>
      <w:r w:rsidR="00D67D87">
        <w:rPr>
          <w:rFonts w:ascii="Arial" w:hAnsi="Arial" w:cs="Arial"/>
          <w:sz w:val="24"/>
          <w:szCs w:val="24"/>
        </w:rPr>
        <w:t xml:space="preserve">Title IV </w:t>
      </w:r>
      <w:r w:rsidRPr="006D0151">
        <w:rPr>
          <w:rFonts w:ascii="Arial" w:hAnsi="Arial" w:cs="Arial"/>
          <w:sz w:val="24"/>
          <w:szCs w:val="24"/>
        </w:rPr>
        <w:t xml:space="preserve">credit balance recipients </w:t>
      </w:r>
      <w:r w:rsidR="002B55AE" w:rsidRPr="006D0151">
        <w:rPr>
          <w:rFonts w:ascii="Arial" w:hAnsi="Arial" w:cs="Arial"/>
          <w:sz w:val="24"/>
          <w:szCs w:val="24"/>
        </w:rPr>
        <w:t xml:space="preserve">in numbers at or above applicable thresholds </w:t>
      </w:r>
      <w:r w:rsidR="00F0667A" w:rsidRPr="006D0151">
        <w:rPr>
          <w:rFonts w:ascii="Arial" w:hAnsi="Arial" w:cs="Arial"/>
          <w:sz w:val="24"/>
          <w:szCs w:val="24"/>
        </w:rPr>
        <w:t xml:space="preserve">also </w:t>
      </w:r>
      <w:r w:rsidRPr="006D0151">
        <w:rPr>
          <w:rFonts w:ascii="Arial" w:hAnsi="Arial" w:cs="Arial"/>
          <w:sz w:val="24"/>
          <w:szCs w:val="24"/>
        </w:rPr>
        <w:t xml:space="preserve">will be required to disclose </w:t>
      </w:r>
      <w:r w:rsidR="00274BEC" w:rsidRPr="006D0151">
        <w:rPr>
          <w:rFonts w:ascii="Arial" w:hAnsi="Arial" w:cs="Arial"/>
          <w:sz w:val="24"/>
          <w:szCs w:val="24"/>
        </w:rPr>
        <w:t>the total consideration paid or received by the parties under the contract, the mean and median costs th</w:t>
      </w:r>
      <w:r w:rsidR="00274BEC">
        <w:rPr>
          <w:rFonts w:ascii="Arial" w:hAnsi="Arial" w:cs="Arial"/>
          <w:sz w:val="24"/>
          <w:szCs w:val="24"/>
        </w:rPr>
        <w:t xml:space="preserve">at </w:t>
      </w:r>
      <w:r w:rsidR="00274BEC" w:rsidRPr="006D0151">
        <w:rPr>
          <w:rFonts w:ascii="Arial" w:hAnsi="Arial" w:cs="Arial"/>
          <w:sz w:val="24"/>
          <w:szCs w:val="24"/>
        </w:rPr>
        <w:t>student account holders incur</w:t>
      </w:r>
      <w:r w:rsidR="00274BEC">
        <w:rPr>
          <w:rFonts w:ascii="Arial" w:hAnsi="Arial" w:cs="Arial"/>
          <w:sz w:val="24"/>
          <w:szCs w:val="24"/>
        </w:rPr>
        <w:t xml:space="preserve">red, </w:t>
      </w:r>
      <w:r w:rsidR="00274BEC" w:rsidRPr="006D0151">
        <w:rPr>
          <w:rFonts w:ascii="Arial" w:hAnsi="Arial" w:cs="Arial"/>
          <w:sz w:val="24"/>
          <w:szCs w:val="24"/>
        </w:rPr>
        <w:t>the number of student account holders</w:t>
      </w:r>
      <w:r w:rsidR="00274BEC">
        <w:rPr>
          <w:rFonts w:ascii="Arial" w:hAnsi="Arial" w:cs="Arial"/>
          <w:sz w:val="24"/>
          <w:szCs w:val="24"/>
        </w:rPr>
        <w:t xml:space="preserve"> for whom these mean and median costs were calculated</w:t>
      </w:r>
      <w:r w:rsidR="00AA20CA" w:rsidRPr="006D0151">
        <w:rPr>
          <w:rFonts w:ascii="Arial" w:hAnsi="Arial" w:cs="Arial"/>
          <w:sz w:val="24"/>
          <w:szCs w:val="24"/>
        </w:rPr>
        <w:t>,</w:t>
      </w:r>
      <w:r w:rsidR="00276F6D" w:rsidRPr="006D0151">
        <w:rPr>
          <w:rFonts w:ascii="Arial" w:hAnsi="Arial" w:cs="Arial"/>
          <w:sz w:val="24"/>
          <w:szCs w:val="24"/>
        </w:rPr>
        <w:t xml:space="preserve"> </w:t>
      </w:r>
      <w:r w:rsidR="00730781" w:rsidRPr="006D0151">
        <w:rPr>
          <w:rFonts w:ascii="Arial" w:hAnsi="Arial" w:cs="Arial"/>
          <w:sz w:val="24"/>
          <w:szCs w:val="24"/>
        </w:rPr>
        <w:t xml:space="preserve">and </w:t>
      </w:r>
      <w:r w:rsidR="00AA20CA" w:rsidRPr="006D0151">
        <w:rPr>
          <w:rFonts w:ascii="Arial" w:hAnsi="Arial" w:cs="Arial"/>
          <w:sz w:val="24"/>
          <w:szCs w:val="24"/>
        </w:rPr>
        <w:t xml:space="preserve">to </w:t>
      </w:r>
      <w:r w:rsidR="00730781" w:rsidRPr="006D0151">
        <w:rPr>
          <w:rFonts w:ascii="Arial" w:hAnsi="Arial" w:cs="Arial"/>
          <w:sz w:val="24"/>
          <w:szCs w:val="24"/>
        </w:rPr>
        <w:t>send the related URL to the Department</w:t>
      </w:r>
      <w:r w:rsidRPr="006D0151">
        <w:rPr>
          <w:rFonts w:ascii="Arial" w:hAnsi="Arial" w:cs="Arial"/>
          <w:sz w:val="24"/>
          <w:szCs w:val="24"/>
        </w:rPr>
        <w:t xml:space="preserve">. </w:t>
      </w:r>
      <w:r w:rsidR="008B7451" w:rsidRPr="006D0151">
        <w:rPr>
          <w:rFonts w:ascii="Arial" w:hAnsi="Arial" w:cs="Arial"/>
          <w:sz w:val="24"/>
          <w:szCs w:val="24"/>
        </w:rPr>
        <w:t xml:space="preserve"> </w:t>
      </w:r>
      <w:r w:rsidRPr="006D0151">
        <w:rPr>
          <w:rFonts w:ascii="Arial" w:hAnsi="Arial" w:cs="Arial"/>
          <w:sz w:val="24"/>
          <w:szCs w:val="24"/>
        </w:rPr>
        <w:t xml:space="preserve">To protect student privacy and data validity, institutions at which fewer than 30 students </w:t>
      </w:r>
      <w:r w:rsidR="00A300F8" w:rsidRPr="006D0151">
        <w:rPr>
          <w:rFonts w:ascii="Arial" w:hAnsi="Arial" w:cs="Arial"/>
          <w:sz w:val="24"/>
          <w:szCs w:val="24"/>
        </w:rPr>
        <w:t>open</w:t>
      </w:r>
      <w:r w:rsidRPr="006D0151">
        <w:rPr>
          <w:rFonts w:ascii="Arial" w:hAnsi="Arial" w:cs="Arial"/>
          <w:sz w:val="24"/>
          <w:szCs w:val="24"/>
        </w:rPr>
        <w:t xml:space="preserve"> an account offered under a T1 or T2 arrangement will not be required to disclose </w:t>
      </w:r>
      <w:r w:rsidR="00276F6D" w:rsidRPr="006D0151">
        <w:rPr>
          <w:rFonts w:ascii="Arial" w:hAnsi="Arial" w:cs="Arial"/>
          <w:sz w:val="24"/>
          <w:szCs w:val="24"/>
        </w:rPr>
        <w:t xml:space="preserve">usage </w:t>
      </w:r>
      <w:r w:rsidRPr="006D0151">
        <w:rPr>
          <w:rFonts w:ascii="Arial" w:hAnsi="Arial" w:cs="Arial"/>
          <w:sz w:val="24"/>
          <w:szCs w:val="24"/>
        </w:rPr>
        <w:t>data.</w:t>
      </w:r>
      <w:r w:rsidR="00F06A21" w:rsidRPr="00F06A21">
        <w:rPr>
          <w:rFonts w:ascii="Arial" w:hAnsi="Arial" w:cs="Arial"/>
          <w:sz w:val="24"/>
          <w:szCs w:val="24"/>
        </w:rPr>
        <w:t xml:space="preserve"> [Guidance issued 5/</w:t>
      </w:r>
      <w:r w:rsidR="00DB1AEF">
        <w:rPr>
          <w:rFonts w:ascii="Arial" w:hAnsi="Arial" w:cs="Arial"/>
          <w:sz w:val="24"/>
          <w:szCs w:val="24"/>
        </w:rPr>
        <w:t>12</w:t>
      </w:r>
      <w:r w:rsidR="00F06A21" w:rsidRPr="00F06A21">
        <w:rPr>
          <w:rFonts w:ascii="Arial" w:hAnsi="Arial" w:cs="Arial"/>
          <w:sz w:val="24"/>
          <w:szCs w:val="24"/>
        </w:rPr>
        <w:t>/2016]</w:t>
      </w:r>
    </w:p>
    <w:p w14:paraId="2A26DAEE" w14:textId="77777777" w:rsidR="00DB2B2F" w:rsidRPr="006D0151" w:rsidRDefault="00DB2B2F" w:rsidP="00FD61B6">
      <w:pPr>
        <w:spacing w:after="0" w:line="240" w:lineRule="auto"/>
        <w:rPr>
          <w:rFonts w:ascii="Arial" w:hAnsi="Arial" w:cs="Arial"/>
          <w:sz w:val="24"/>
          <w:szCs w:val="24"/>
        </w:rPr>
      </w:pPr>
    </w:p>
    <w:p w14:paraId="62433CBD" w14:textId="77777777" w:rsidR="006C768A" w:rsidRDefault="006C768A">
      <w:pPr>
        <w:spacing w:after="0" w:line="240" w:lineRule="auto"/>
        <w:rPr>
          <w:rFonts w:ascii="Arial" w:hAnsi="Arial" w:cs="Arial"/>
          <w:b/>
          <w:sz w:val="24"/>
          <w:szCs w:val="24"/>
        </w:rPr>
      </w:pPr>
    </w:p>
    <w:p w14:paraId="4B3009EC" w14:textId="0843C9C6" w:rsidR="002B4C12" w:rsidRPr="006D0151" w:rsidRDefault="002B4C12">
      <w:pPr>
        <w:spacing w:after="0" w:line="240" w:lineRule="auto"/>
        <w:rPr>
          <w:rFonts w:ascii="Arial" w:hAnsi="Arial" w:cs="Arial"/>
          <w:b/>
          <w:sz w:val="24"/>
          <w:szCs w:val="24"/>
        </w:rPr>
      </w:pPr>
      <w:r w:rsidRPr="006D0151">
        <w:rPr>
          <w:rFonts w:ascii="Arial" w:hAnsi="Arial" w:cs="Arial"/>
          <w:b/>
          <w:sz w:val="24"/>
          <w:szCs w:val="24"/>
        </w:rPr>
        <w:t>Books and Supplies (BAS)</w:t>
      </w:r>
    </w:p>
    <w:p w14:paraId="163DEB8F" w14:textId="77777777" w:rsidR="00DD314C" w:rsidRPr="006D0151" w:rsidRDefault="00DD314C">
      <w:pPr>
        <w:spacing w:after="0" w:line="240" w:lineRule="auto"/>
        <w:rPr>
          <w:rFonts w:ascii="Arial" w:hAnsi="Arial" w:cs="Arial"/>
          <w:sz w:val="24"/>
          <w:szCs w:val="24"/>
          <w:u w:val="single"/>
        </w:rPr>
      </w:pPr>
    </w:p>
    <w:p w14:paraId="25B21C98" w14:textId="7C505BB4" w:rsidR="00AB1268" w:rsidRPr="006D0151" w:rsidRDefault="00AB1268">
      <w:pPr>
        <w:spacing w:after="0" w:line="240" w:lineRule="auto"/>
        <w:rPr>
          <w:rFonts w:ascii="Arial" w:hAnsi="Arial" w:cs="Arial"/>
          <w:sz w:val="24"/>
          <w:szCs w:val="24"/>
          <w:u w:val="single"/>
        </w:rPr>
      </w:pPr>
      <w:r w:rsidRPr="006D0151">
        <w:rPr>
          <w:rFonts w:ascii="Arial" w:hAnsi="Arial" w:cs="Arial"/>
          <w:sz w:val="24"/>
          <w:szCs w:val="24"/>
          <w:u w:val="single"/>
        </w:rPr>
        <w:t xml:space="preserve">BAS Q1: Are the books and supplies provisions in the regulations tied to T1 and T2 arrangements, or must all </w:t>
      </w:r>
      <w:r w:rsidR="001E0BC0" w:rsidRPr="006D0151">
        <w:rPr>
          <w:rFonts w:ascii="Arial" w:hAnsi="Arial" w:cs="Arial"/>
          <w:sz w:val="24"/>
          <w:szCs w:val="24"/>
          <w:u w:val="single"/>
        </w:rPr>
        <w:t>institutions</w:t>
      </w:r>
      <w:r w:rsidRPr="006D0151">
        <w:rPr>
          <w:rFonts w:ascii="Arial" w:hAnsi="Arial" w:cs="Arial"/>
          <w:sz w:val="24"/>
          <w:szCs w:val="24"/>
          <w:u w:val="single"/>
        </w:rPr>
        <w:t xml:space="preserve"> comply with these </w:t>
      </w:r>
      <w:r w:rsidR="0081229A" w:rsidRPr="006D0151">
        <w:rPr>
          <w:rFonts w:ascii="Arial" w:hAnsi="Arial" w:cs="Arial"/>
          <w:sz w:val="24"/>
          <w:szCs w:val="24"/>
          <w:u w:val="single"/>
        </w:rPr>
        <w:t>provisions</w:t>
      </w:r>
      <w:r w:rsidRPr="006D0151">
        <w:rPr>
          <w:rFonts w:ascii="Arial" w:hAnsi="Arial" w:cs="Arial"/>
          <w:sz w:val="24"/>
          <w:szCs w:val="24"/>
          <w:u w:val="single"/>
        </w:rPr>
        <w:t>?</w:t>
      </w:r>
    </w:p>
    <w:p w14:paraId="4018168A" w14:textId="77777777" w:rsidR="0013775A" w:rsidRPr="006D0151" w:rsidRDefault="0013775A">
      <w:pPr>
        <w:spacing w:after="0" w:line="240" w:lineRule="auto"/>
        <w:rPr>
          <w:rFonts w:ascii="Arial" w:hAnsi="Arial" w:cs="Arial"/>
          <w:sz w:val="24"/>
          <w:szCs w:val="24"/>
          <w:u w:val="single"/>
        </w:rPr>
      </w:pPr>
    </w:p>
    <w:p w14:paraId="33BD85AE" w14:textId="25A802F5" w:rsidR="00AB1268" w:rsidRPr="006D0151" w:rsidRDefault="00AB1268">
      <w:pPr>
        <w:spacing w:after="0" w:line="240" w:lineRule="auto"/>
        <w:rPr>
          <w:rFonts w:ascii="Arial" w:hAnsi="Arial" w:cs="Arial"/>
          <w:sz w:val="24"/>
          <w:szCs w:val="24"/>
        </w:rPr>
      </w:pPr>
      <w:r w:rsidRPr="006D0151">
        <w:rPr>
          <w:rFonts w:ascii="Arial" w:hAnsi="Arial" w:cs="Arial"/>
          <w:sz w:val="24"/>
          <w:szCs w:val="24"/>
        </w:rPr>
        <w:t xml:space="preserve">BAS A1: All </w:t>
      </w:r>
      <w:r w:rsidR="001E0BC0" w:rsidRPr="006D0151">
        <w:rPr>
          <w:rFonts w:ascii="Arial" w:hAnsi="Arial" w:cs="Arial"/>
          <w:sz w:val="24"/>
          <w:szCs w:val="24"/>
        </w:rPr>
        <w:t>institutions</w:t>
      </w:r>
      <w:r w:rsidRPr="006D0151">
        <w:rPr>
          <w:rFonts w:ascii="Arial" w:hAnsi="Arial" w:cs="Arial"/>
          <w:sz w:val="24"/>
          <w:szCs w:val="24"/>
        </w:rPr>
        <w:t xml:space="preserve"> must comply with the books and supplies provisions. </w:t>
      </w:r>
      <w:r w:rsidR="00F06A21" w:rsidRPr="00F06A21">
        <w:rPr>
          <w:rFonts w:ascii="Arial" w:hAnsi="Arial" w:cs="Arial"/>
          <w:sz w:val="24"/>
          <w:szCs w:val="24"/>
        </w:rPr>
        <w:t>[Guidance issued 5/</w:t>
      </w:r>
      <w:r w:rsidR="00DB1AEF">
        <w:rPr>
          <w:rFonts w:ascii="Arial" w:hAnsi="Arial" w:cs="Arial"/>
          <w:sz w:val="24"/>
          <w:szCs w:val="24"/>
        </w:rPr>
        <w:t>12</w:t>
      </w:r>
      <w:r w:rsidR="00F06A21" w:rsidRPr="00F06A21">
        <w:rPr>
          <w:rFonts w:ascii="Arial" w:hAnsi="Arial" w:cs="Arial"/>
          <w:sz w:val="24"/>
          <w:szCs w:val="24"/>
        </w:rPr>
        <w:t>/2016]</w:t>
      </w:r>
    </w:p>
    <w:p w14:paraId="5F12944A" w14:textId="77777777" w:rsidR="00AB1268" w:rsidRPr="006D0151" w:rsidRDefault="00AB1268">
      <w:pPr>
        <w:spacing w:after="0" w:line="240" w:lineRule="auto"/>
        <w:rPr>
          <w:rFonts w:ascii="Arial" w:hAnsi="Arial" w:cs="Arial"/>
          <w:sz w:val="24"/>
          <w:szCs w:val="24"/>
          <w:u w:val="single"/>
        </w:rPr>
      </w:pPr>
    </w:p>
    <w:p w14:paraId="2A460D30" w14:textId="11AAD61E" w:rsidR="006C768A" w:rsidRPr="006D0151" w:rsidRDefault="006C768A" w:rsidP="006C768A">
      <w:pPr>
        <w:pStyle w:val="NormalWeb"/>
        <w:spacing w:before="0" w:beforeAutospacing="0" w:after="120" w:afterAutospacing="0"/>
        <w:textAlignment w:val="baseline"/>
        <w:rPr>
          <w:rFonts w:ascii="Arial" w:hAnsi="Arial" w:cs="Arial"/>
          <w:color w:val="363636"/>
        </w:rPr>
      </w:pPr>
      <w:r w:rsidRPr="006D0151">
        <w:rPr>
          <w:rFonts w:ascii="Arial" w:hAnsi="Arial" w:cs="Arial"/>
          <w:u w:val="single"/>
        </w:rPr>
        <w:t>BAS Q</w:t>
      </w:r>
      <w:r>
        <w:rPr>
          <w:rFonts w:ascii="Arial" w:hAnsi="Arial" w:cs="Arial"/>
          <w:u w:val="single"/>
        </w:rPr>
        <w:t>2</w:t>
      </w:r>
      <w:r w:rsidRPr="006D0151">
        <w:rPr>
          <w:rFonts w:ascii="Arial" w:hAnsi="Arial" w:cs="Arial"/>
          <w:u w:val="single"/>
        </w:rPr>
        <w:t xml:space="preserve">: The regulations state that an institution may include the costs of books and supplies as part of tuition and fees if the institution has an arrangement that enables it to make those books or supplies available to students below competitive market rates. What does the phrase “below competitive market rates” mean? </w:t>
      </w:r>
    </w:p>
    <w:p w14:paraId="5C74AA33" w14:textId="6A8E5BB7" w:rsidR="006C768A" w:rsidRDefault="006C768A" w:rsidP="006C768A">
      <w:pPr>
        <w:spacing w:after="0" w:line="240" w:lineRule="auto"/>
        <w:rPr>
          <w:rFonts w:ascii="Arial" w:hAnsi="Arial" w:cs="Arial"/>
          <w:sz w:val="24"/>
          <w:szCs w:val="24"/>
        </w:rPr>
      </w:pPr>
      <w:r>
        <w:rPr>
          <w:rFonts w:ascii="Arial" w:hAnsi="Arial" w:cs="Arial"/>
          <w:sz w:val="24"/>
          <w:szCs w:val="24"/>
        </w:rPr>
        <w:t>BAS A2</w:t>
      </w:r>
      <w:r w:rsidRPr="006D0151">
        <w:rPr>
          <w:rFonts w:ascii="Arial" w:hAnsi="Arial" w:cs="Arial"/>
          <w:sz w:val="24"/>
          <w:szCs w:val="24"/>
        </w:rPr>
        <w:t xml:space="preserve">: The phrase “below competitive market rates” means that the price </w:t>
      </w:r>
      <w:r w:rsidR="00E63C76">
        <w:rPr>
          <w:rFonts w:ascii="Arial" w:hAnsi="Arial" w:cs="Arial"/>
          <w:sz w:val="24"/>
          <w:szCs w:val="24"/>
        </w:rPr>
        <w:t>charged</w:t>
      </w:r>
      <w:r w:rsidRPr="006D0151">
        <w:rPr>
          <w:rFonts w:ascii="Arial" w:hAnsi="Arial" w:cs="Arial"/>
          <w:sz w:val="24"/>
          <w:szCs w:val="24"/>
        </w:rPr>
        <w:t xml:space="preserve"> to students is below the price generally available to the public.  It does not refer to the list or “sticker” price of the book.  Institutions are expected to demonstrate that they have researched available prices of books and supplies before including the cost in tuition and fees.</w:t>
      </w:r>
      <w:r w:rsidR="00F06A21" w:rsidRPr="00F06A21">
        <w:rPr>
          <w:rFonts w:ascii="Arial" w:hAnsi="Arial" w:cs="Arial"/>
          <w:sz w:val="24"/>
          <w:szCs w:val="24"/>
        </w:rPr>
        <w:t xml:space="preserve"> [Guidance issued 5/</w:t>
      </w:r>
      <w:r w:rsidR="00DB1AEF">
        <w:rPr>
          <w:rFonts w:ascii="Arial" w:hAnsi="Arial" w:cs="Arial"/>
          <w:sz w:val="24"/>
          <w:szCs w:val="24"/>
        </w:rPr>
        <w:t>12</w:t>
      </w:r>
      <w:r w:rsidR="00F06A21" w:rsidRPr="00F06A21">
        <w:rPr>
          <w:rFonts w:ascii="Arial" w:hAnsi="Arial" w:cs="Arial"/>
          <w:sz w:val="24"/>
          <w:szCs w:val="24"/>
        </w:rPr>
        <w:t>/2016]</w:t>
      </w:r>
    </w:p>
    <w:p w14:paraId="7A2A02EB" w14:textId="77777777" w:rsidR="006C768A" w:rsidRPr="006D0151" w:rsidRDefault="006C768A" w:rsidP="006C768A">
      <w:pPr>
        <w:spacing w:after="0" w:line="240" w:lineRule="auto"/>
        <w:rPr>
          <w:rFonts w:ascii="Arial" w:hAnsi="Arial" w:cs="Arial"/>
          <w:sz w:val="24"/>
          <w:szCs w:val="24"/>
        </w:rPr>
      </w:pPr>
    </w:p>
    <w:p w14:paraId="0943C75C" w14:textId="6B7A6388" w:rsidR="002B4C12" w:rsidRPr="006D0151" w:rsidRDefault="00D92D24">
      <w:pPr>
        <w:spacing w:after="0" w:line="240" w:lineRule="auto"/>
        <w:rPr>
          <w:rFonts w:ascii="Arial" w:hAnsi="Arial" w:cs="Arial"/>
          <w:sz w:val="24"/>
          <w:szCs w:val="24"/>
          <w:u w:val="single"/>
        </w:rPr>
      </w:pPr>
      <w:r w:rsidRPr="006D0151">
        <w:rPr>
          <w:rFonts w:ascii="Arial" w:hAnsi="Arial" w:cs="Arial"/>
          <w:sz w:val="24"/>
          <w:szCs w:val="24"/>
          <w:u w:val="single"/>
        </w:rPr>
        <w:t>BAS Q</w:t>
      </w:r>
      <w:r w:rsidR="006C768A">
        <w:rPr>
          <w:rFonts w:ascii="Arial" w:hAnsi="Arial" w:cs="Arial"/>
          <w:sz w:val="24"/>
          <w:szCs w:val="24"/>
          <w:u w:val="single"/>
        </w:rPr>
        <w:t>3</w:t>
      </w:r>
      <w:r w:rsidR="00F02A09" w:rsidRPr="006D0151">
        <w:rPr>
          <w:rFonts w:ascii="Arial" w:hAnsi="Arial" w:cs="Arial"/>
          <w:sz w:val="24"/>
          <w:szCs w:val="24"/>
          <w:u w:val="single"/>
        </w:rPr>
        <w:t xml:space="preserve">: </w:t>
      </w:r>
      <w:r w:rsidR="002B4C12" w:rsidRPr="006D0151">
        <w:rPr>
          <w:rFonts w:ascii="Arial" w:hAnsi="Arial" w:cs="Arial"/>
          <w:sz w:val="24"/>
          <w:szCs w:val="24"/>
          <w:u w:val="single"/>
        </w:rPr>
        <w:t xml:space="preserve">Do </w:t>
      </w:r>
      <w:r w:rsidR="00844586" w:rsidRPr="006D0151">
        <w:rPr>
          <w:rFonts w:ascii="Arial" w:hAnsi="Arial" w:cs="Arial"/>
          <w:sz w:val="24"/>
          <w:szCs w:val="24"/>
          <w:u w:val="single"/>
        </w:rPr>
        <w:t xml:space="preserve">institutions </w:t>
      </w:r>
      <w:r w:rsidR="002B4C12" w:rsidRPr="006D0151">
        <w:rPr>
          <w:rFonts w:ascii="Arial" w:hAnsi="Arial" w:cs="Arial"/>
          <w:sz w:val="24"/>
          <w:szCs w:val="24"/>
          <w:u w:val="single"/>
        </w:rPr>
        <w:t xml:space="preserve">that arrange for bulk rental </w:t>
      </w:r>
      <w:r w:rsidR="00E0539E" w:rsidRPr="006D0151">
        <w:rPr>
          <w:rFonts w:ascii="Arial" w:hAnsi="Arial" w:cs="Arial"/>
          <w:sz w:val="24"/>
          <w:szCs w:val="24"/>
          <w:u w:val="single"/>
        </w:rPr>
        <w:t xml:space="preserve">or purchase </w:t>
      </w:r>
      <w:r w:rsidR="002B4C12" w:rsidRPr="006D0151">
        <w:rPr>
          <w:rFonts w:ascii="Arial" w:hAnsi="Arial" w:cs="Arial"/>
          <w:sz w:val="24"/>
          <w:szCs w:val="24"/>
          <w:u w:val="single"/>
        </w:rPr>
        <w:t>of textbooks for all students</w:t>
      </w:r>
      <w:r w:rsidR="00F02A09" w:rsidRPr="006D0151">
        <w:rPr>
          <w:rFonts w:ascii="Arial" w:hAnsi="Arial" w:cs="Arial"/>
          <w:sz w:val="24"/>
          <w:szCs w:val="24"/>
          <w:u w:val="single"/>
        </w:rPr>
        <w:t xml:space="preserve"> </w:t>
      </w:r>
      <w:r w:rsidR="001D31F2">
        <w:rPr>
          <w:rFonts w:ascii="Arial" w:hAnsi="Arial" w:cs="Arial"/>
          <w:sz w:val="24"/>
          <w:szCs w:val="24"/>
          <w:u w:val="single"/>
        </w:rPr>
        <w:t xml:space="preserve">in a program </w:t>
      </w:r>
      <w:r w:rsidR="00A80ABB">
        <w:rPr>
          <w:rFonts w:ascii="Arial" w:hAnsi="Arial" w:cs="Arial"/>
          <w:sz w:val="24"/>
          <w:szCs w:val="24"/>
          <w:u w:val="single"/>
        </w:rPr>
        <w:t xml:space="preserve">and include the cost </w:t>
      </w:r>
      <w:r w:rsidR="00044D8F">
        <w:rPr>
          <w:rFonts w:ascii="Arial" w:hAnsi="Arial" w:cs="Arial"/>
          <w:sz w:val="24"/>
          <w:szCs w:val="24"/>
          <w:u w:val="single"/>
        </w:rPr>
        <w:t xml:space="preserve">of those materials </w:t>
      </w:r>
      <w:r w:rsidR="00A80ABB">
        <w:rPr>
          <w:rFonts w:ascii="Arial" w:hAnsi="Arial" w:cs="Arial"/>
          <w:sz w:val="24"/>
          <w:szCs w:val="24"/>
          <w:u w:val="single"/>
        </w:rPr>
        <w:t xml:space="preserve">in tuition and fees in order to provide savings for their students </w:t>
      </w:r>
      <w:r w:rsidR="00F02A09" w:rsidRPr="006D0151">
        <w:rPr>
          <w:rFonts w:ascii="Arial" w:hAnsi="Arial" w:cs="Arial"/>
          <w:sz w:val="24"/>
          <w:szCs w:val="24"/>
          <w:u w:val="single"/>
        </w:rPr>
        <w:t xml:space="preserve">have to provide a mechanism for students to opt out of </w:t>
      </w:r>
      <w:r w:rsidR="001D31F2">
        <w:rPr>
          <w:rFonts w:ascii="Arial" w:hAnsi="Arial" w:cs="Arial"/>
          <w:sz w:val="24"/>
          <w:szCs w:val="24"/>
          <w:u w:val="single"/>
        </w:rPr>
        <w:t xml:space="preserve">such an </w:t>
      </w:r>
      <w:r w:rsidR="00F02A09" w:rsidRPr="006D0151">
        <w:rPr>
          <w:rFonts w:ascii="Arial" w:hAnsi="Arial" w:cs="Arial"/>
          <w:sz w:val="24"/>
          <w:szCs w:val="24"/>
          <w:u w:val="single"/>
        </w:rPr>
        <w:t>arrangement?</w:t>
      </w:r>
    </w:p>
    <w:p w14:paraId="77257689" w14:textId="77777777" w:rsidR="0013775A" w:rsidRPr="006D0151" w:rsidRDefault="0013775A">
      <w:pPr>
        <w:spacing w:after="0" w:line="240" w:lineRule="auto"/>
        <w:rPr>
          <w:rFonts w:ascii="Arial" w:hAnsi="Arial" w:cs="Arial"/>
          <w:sz w:val="24"/>
          <w:szCs w:val="24"/>
          <w:u w:val="single"/>
        </w:rPr>
      </w:pPr>
    </w:p>
    <w:p w14:paraId="381E2EA8" w14:textId="2070FEA5" w:rsidR="009E2B71" w:rsidRPr="006D0151" w:rsidRDefault="00F02A09" w:rsidP="009E2B71">
      <w:pPr>
        <w:pStyle w:val="NormalWeb"/>
        <w:spacing w:before="0" w:beforeAutospacing="0" w:after="0" w:afterAutospacing="0"/>
        <w:textAlignment w:val="baseline"/>
        <w:rPr>
          <w:rFonts w:ascii="Arial" w:eastAsiaTheme="minorHAnsi" w:hAnsi="Arial" w:cs="Arial"/>
        </w:rPr>
      </w:pPr>
      <w:r w:rsidRPr="006D0151">
        <w:rPr>
          <w:rFonts w:ascii="Arial" w:eastAsiaTheme="minorHAnsi" w:hAnsi="Arial" w:cs="Arial"/>
        </w:rPr>
        <w:t>BAS A</w:t>
      </w:r>
      <w:r w:rsidR="006C768A">
        <w:rPr>
          <w:rFonts w:ascii="Arial" w:eastAsiaTheme="minorHAnsi" w:hAnsi="Arial" w:cs="Arial"/>
        </w:rPr>
        <w:t>3</w:t>
      </w:r>
      <w:r w:rsidRPr="006D0151">
        <w:rPr>
          <w:rFonts w:ascii="Arial" w:eastAsiaTheme="minorHAnsi" w:hAnsi="Arial" w:cs="Arial"/>
        </w:rPr>
        <w:t xml:space="preserve">: </w:t>
      </w:r>
      <w:r w:rsidR="00804890" w:rsidRPr="006D0151">
        <w:rPr>
          <w:rFonts w:ascii="Arial" w:eastAsiaTheme="minorHAnsi" w:hAnsi="Arial" w:cs="Arial"/>
        </w:rPr>
        <w:t xml:space="preserve"> Institutions must have a process </w:t>
      </w:r>
      <w:r w:rsidR="001D31F2">
        <w:rPr>
          <w:rFonts w:ascii="Arial" w:eastAsiaTheme="minorHAnsi" w:hAnsi="Arial" w:cs="Arial"/>
        </w:rPr>
        <w:t>that</w:t>
      </w:r>
      <w:r w:rsidR="00804890" w:rsidRPr="006D0151">
        <w:rPr>
          <w:rFonts w:ascii="Arial" w:eastAsiaTheme="minorHAnsi" w:hAnsi="Arial" w:cs="Arial"/>
        </w:rPr>
        <w:t xml:space="preserve"> allow</w:t>
      </w:r>
      <w:r w:rsidR="001D31F2">
        <w:rPr>
          <w:rFonts w:ascii="Arial" w:eastAsiaTheme="minorHAnsi" w:hAnsi="Arial" w:cs="Arial"/>
        </w:rPr>
        <w:t>s</w:t>
      </w:r>
      <w:r w:rsidR="00804890" w:rsidRPr="006D0151">
        <w:rPr>
          <w:rFonts w:ascii="Arial" w:eastAsiaTheme="minorHAnsi" w:hAnsi="Arial" w:cs="Arial"/>
        </w:rPr>
        <w:t xml:space="preserve"> students to opt out of </w:t>
      </w:r>
      <w:r w:rsidR="009E2B71" w:rsidRPr="006D0151">
        <w:rPr>
          <w:rFonts w:ascii="Arial" w:eastAsiaTheme="minorHAnsi" w:hAnsi="Arial" w:cs="Arial"/>
        </w:rPr>
        <w:t>an arrangement to include the cost of books and supplies in tuition and fees</w:t>
      </w:r>
      <w:r w:rsidR="00E0539E" w:rsidRPr="006D0151">
        <w:rPr>
          <w:rFonts w:ascii="Arial" w:eastAsiaTheme="minorHAnsi" w:hAnsi="Arial" w:cs="Arial"/>
        </w:rPr>
        <w:t xml:space="preserve"> and </w:t>
      </w:r>
      <w:r w:rsidR="00675C56">
        <w:rPr>
          <w:rFonts w:ascii="Arial" w:eastAsiaTheme="minorHAnsi" w:hAnsi="Arial" w:cs="Arial"/>
        </w:rPr>
        <w:t>notify</w:t>
      </w:r>
      <w:r w:rsidR="00E0539E" w:rsidRPr="006D0151">
        <w:rPr>
          <w:rFonts w:ascii="Arial" w:eastAsiaTheme="minorHAnsi" w:hAnsi="Arial" w:cs="Arial"/>
        </w:rPr>
        <w:t xml:space="preserve"> students of the option to opt out of the arrangement</w:t>
      </w:r>
      <w:r w:rsidR="009E2B71" w:rsidRPr="006D0151">
        <w:rPr>
          <w:rFonts w:ascii="Arial" w:eastAsiaTheme="minorHAnsi" w:hAnsi="Arial" w:cs="Arial"/>
        </w:rPr>
        <w:t xml:space="preserve">, unless the books or supplies are not available elsewhere or there is a compelling health or safety reason to use certain books and supplies.  </w:t>
      </w:r>
      <w:r w:rsidR="0021567D" w:rsidRPr="006D0151">
        <w:rPr>
          <w:rFonts w:ascii="Arial" w:eastAsiaTheme="minorHAnsi" w:hAnsi="Arial" w:cs="Arial"/>
        </w:rPr>
        <w:t xml:space="preserve">For any </w:t>
      </w:r>
      <w:r w:rsidR="00CF7CB2" w:rsidRPr="006D0151">
        <w:rPr>
          <w:rFonts w:ascii="Arial" w:eastAsiaTheme="minorHAnsi" w:hAnsi="Arial" w:cs="Arial"/>
        </w:rPr>
        <w:t>student who opts out</w:t>
      </w:r>
      <w:r w:rsidR="009E2B71" w:rsidRPr="006D0151">
        <w:rPr>
          <w:rFonts w:ascii="Arial" w:eastAsiaTheme="minorHAnsi" w:hAnsi="Arial" w:cs="Arial"/>
        </w:rPr>
        <w:t xml:space="preserve">, the institution must </w:t>
      </w:r>
      <w:r w:rsidR="00F42F9B" w:rsidRPr="006D0151">
        <w:rPr>
          <w:rFonts w:ascii="Arial" w:eastAsiaTheme="minorHAnsi" w:hAnsi="Arial" w:cs="Arial"/>
        </w:rPr>
        <w:t xml:space="preserve">reduce </w:t>
      </w:r>
      <w:r w:rsidR="009E2B71" w:rsidRPr="006D0151">
        <w:rPr>
          <w:rFonts w:ascii="Arial" w:eastAsiaTheme="minorHAnsi" w:hAnsi="Arial" w:cs="Arial"/>
        </w:rPr>
        <w:t>the tuition by the cost of a</w:t>
      </w:r>
      <w:r w:rsidR="00B26B50" w:rsidRPr="006D0151">
        <w:rPr>
          <w:rFonts w:ascii="Arial" w:eastAsiaTheme="minorHAnsi" w:hAnsi="Arial" w:cs="Arial"/>
        </w:rPr>
        <w:t>ny</w:t>
      </w:r>
      <w:r w:rsidR="009E2B71" w:rsidRPr="006D0151">
        <w:rPr>
          <w:rFonts w:ascii="Arial" w:eastAsiaTheme="minorHAnsi" w:hAnsi="Arial" w:cs="Arial"/>
        </w:rPr>
        <w:t xml:space="preserve"> books and supplies included </w:t>
      </w:r>
      <w:r w:rsidR="00B26B50" w:rsidRPr="006D0151">
        <w:rPr>
          <w:rFonts w:ascii="Arial" w:eastAsiaTheme="minorHAnsi" w:hAnsi="Arial" w:cs="Arial"/>
        </w:rPr>
        <w:t>in tuition and fees</w:t>
      </w:r>
      <w:r w:rsidR="00CF7CB2" w:rsidRPr="006D0151">
        <w:rPr>
          <w:rFonts w:ascii="Arial" w:eastAsiaTheme="minorHAnsi" w:hAnsi="Arial" w:cs="Arial"/>
        </w:rPr>
        <w:t>.</w:t>
      </w:r>
      <w:r w:rsidR="009976E2" w:rsidRPr="006D0151">
        <w:rPr>
          <w:rFonts w:ascii="Arial" w:eastAsiaTheme="minorHAnsi" w:hAnsi="Arial" w:cs="Arial"/>
        </w:rPr>
        <w:t xml:space="preserve"> </w:t>
      </w:r>
      <w:r w:rsidR="0021567D" w:rsidRPr="006D0151">
        <w:rPr>
          <w:rFonts w:ascii="Arial" w:eastAsiaTheme="minorHAnsi" w:hAnsi="Arial" w:cs="Arial"/>
        </w:rPr>
        <w:t>T</w:t>
      </w:r>
      <w:r w:rsidR="009976E2" w:rsidRPr="006D0151">
        <w:rPr>
          <w:rFonts w:ascii="Arial" w:eastAsiaTheme="minorHAnsi" w:hAnsi="Arial" w:cs="Arial"/>
        </w:rPr>
        <w:t xml:space="preserve">he </w:t>
      </w:r>
      <w:r w:rsidR="00F42F9B" w:rsidRPr="006D0151">
        <w:rPr>
          <w:rFonts w:ascii="Arial" w:eastAsiaTheme="minorHAnsi" w:hAnsi="Arial" w:cs="Arial"/>
        </w:rPr>
        <w:t xml:space="preserve">reduction </w:t>
      </w:r>
      <w:r w:rsidR="009976E2" w:rsidRPr="006D0151">
        <w:rPr>
          <w:rFonts w:ascii="Arial" w:eastAsiaTheme="minorHAnsi" w:hAnsi="Arial" w:cs="Arial"/>
        </w:rPr>
        <w:t xml:space="preserve">for students who opt out </w:t>
      </w:r>
      <w:r w:rsidR="0021567D" w:rsidRPr="006D0151">
        <w:rPr>
          <w:rFonts w:ascii="Arial" w:eastAsiaTheme="minorHAnsi" w:hAnsi="Arial" w:cs="Arial"/>
        </w:rPr>
        <w:t>must reflect</w:t>
      </w:r>
      <w:r w:rsidR="009976E2" w:rsidRPr="006D0151">
        <w:rPr>
          <w:rFonts w:ascii="Arial" w:eastAsiaTheme="minorHAnsi" w:hAnsi="Arial" w:cs="Arial"/>
        </w:rPr>
        <w:t xml:space="preserve"> the</w:t>
      </w:r>
      <w:r w:rsidR="00CF7CB2" w:rsidRPr="006D0151">
        <w:rPr>
          <w:rFonts w:ascii="Arial" w:eastAsiaTheme="minorHAnsi" w:hAnsi="Arial" w:cs="Arial"/>
        </w:rPr>
        <w:t xml:space="preserve"> </w:t>
      </w:r>
      <w:r w:rsidR="0019770A" w:rsidRPr="006D0151">
        <w:rPr>
          <w:rFonts w:ascii="Arial" w:eastAsiaTheme="minorHAnsi" w:hAnsi="Arial" w:cs="Arial"/>
        </w:rPr>
        <w:t>institution’s per</w:t>
      </w:r>
      <w:r w:rsidR="00AA20CA" w:rsidRPr="006D0151">
        <w:rPr>
          <w:rFonts w:ascii="Arial" w:eastAsiaTheme="minorHAnsi" w:hAnsi="Arial" w:cs="Arial"/>
        </w:rPr>
        <w:t>-</w:t>
      </w:r>
      <w:r w:rsidR="009976E2" w:rsidRPr="006D0151">
        <w:rPr>
          <w:rFonts w:ascii="Arial" w:eastAsiaTheme="minorHAnsi" w:hAnsi="Arial" w:cs="Arial"/>
        </w:rPr>
        <w:t xml:space="preserve">student cost of the books.  </w:t>
      </w:r>
      <w:r w:rsidR="00F06A21" w:rsidRPr="00F06A21">
        <w:rPr>
          <w:rFonts w:ascii="Arial" w:hAnsi="Arial" w:cs="Arial"/>
        </w:rPr>
        <w:t>[Guidance issued 5/</w:t>
      </w:r>
      <w:r w:rsidR="00DB1AEF">
        <w:rPr>
          <w:rFonts w:ascii="Arial" w:hAnsi="Arial" w:cs="Arial"/>
        </w:rPr>
        <w:t>12</w:t>
      </w:r>
      <w:r w:rsidR="00F06A21" w:rsidRPr="00F06A21">
        <w:rPr>
          <w:rFonts w:ascii="Arial" w:hAnsi="Arial" w:cs="Arial"/>
        </w:rPr>
        <w:t>/2016]</w:t>
      </w:r>
    </w:p>
    <w:p w14:paraId="74CCCE84" w14:textId="42CE40B4" w:rsidR="00CA7D6A" w:rsidRPr="006D0151" w:rsidRDefault="00CA7D6A" w:rsidP="009E2B71">
      <w:pPr>
        <w:pStyle w:val="NormalWeb"/>
        <w:spacing w:before="0" w:beforeAutospacing="0" w:after="0" w:afterAutospacing="0"/>
        <w:textAlignment w:val="baseline"/>
        <w:rPr>
          <w:rFonts w:ascii="Arial" w:eastAsiaTheme="minorHAnsi" w:hAnsi="Arial" w:cs="Arial"/>
        </w:rPr>
      </w:pPr>
    </w:p>
    <w:p w14:paraId="354CC845" w14:textId="77777777" w:rsidR="00245A73" w:rsidRPr="006D0151" w:rsidRDefault="00245A73" w:rsidP="009E2B71">
      <w:pPr>
        <w:pStyle w:val="NormalWeb"/>
        <w:spacing w:before="0" w:beforeAutospacing="0" w:after="0" w:afterAutospacing="0"/>
        <w:textAlignment w:val="baseline"/>
        <w:rPr>
          <w:rFonts w:ascii="Arial" w:eastAsiaTheme="minorHAnsi" w:hAnsi="Arial" w:cs="Arial"/>
          <w:u w:val="single"/>
        </w:rPr>
      </w:pPr>
    </w:p>
    <w:p w14:paraId="18BC9B3B" w14:textId="238B6274" w:rsidR="00CA7D6A" w:rsidRPr="006D0151" w:rsidRDefault="00CA7D6A" w:rsidP="009E2B71">
      <w:pPr>
        <w:pStyle w:val="NormalWeb"/>
        <w:spacing w:before="0" w:beforeAutospacing="0" w:after="0" w:afterAutospacing="0"/>
        <w:textAlignment w:val="baseline"/>
        <w:rPr>
          <w:rFonts w:ascii="Arial" w:eastAsiaTheme="minorHAnsi" w:hAnsi="Arial" w:cs="Arial"/>
          <w:b/>
        </w:rPr>
      </w:pPr>
      <w:r w:rsidRPr="006D0151">
        <w:rPr>
          <w:rFonts w:ascii="Arial" w:eastAsiaTheme="minorHAnsi" w:hAnsi="Arial" w:cs="Arial"/>
          <w:b/>
        </w:rPr>
        <w:t>Confirming Eligibility (CE)</w:t>
      </w:r>
    </w:p>
    <w:p w14:paraId="1C0C7412" w14:textId="77777777" w:rsidR="00CA7D6A" w:rsidRPr="006D0151" w:rsidRDefault="00CA7D6A" w:rsidP="009E2B71">
      <w:pPr>
        <w:pStyle w:val="NormalWeb"/>
        <w:spacing w:before="0" w:beforeAutospacing="0" w:after="0" w:afterAutospacing="0"/>
        <w:textAlignment w:val="baseline"/>
        <w:rPr>
          <w:rFonts w:ascii="Arial" w:eastAsiaTheme="minorHAnsi" w:hAnsi="Arial" w:cs="Arial"/>
        </w:rPr>
      </w:pPr>
    </w:p>
    <w:p w14:paraId="0EDE7897" w14:textId="0B2D06CA" w:rsidR="00CA7D6A" w:rsidRPr="006D0151" w:rsidRDefault="00CA7D6A" w:rsidP="00CA7D6A">
      <w:pPr>
        <w:spacing w:after="0" w:line="240" w:lineRule="auto"/>
        <w:contextualSpacing/>
        <w:rPr>
          <w:rFonts w:ascii="Arial" w:hAnsi="Arial" w:cs="Arial"/>
          <w:sz w:val="24"/>
          <w:szCs w:val="24"/>
          <w:u w:val="single"/>
        </w:rPr>
      </w:pPr>
      <w:r w:rsidRPr="006D0151">
        <w:rPr>
          <w:rFonts w:ascii="Arial" w:hAnsi="Arial" w:cs="Arial"/>
          <w:sz w:val="24"/>
          <w:szCs w:val="24"/>
          <w:u w:val="single"/>
        </w:rPr>
        <w:t>CE Q1: Under the regulations, if a student drops to half-time e</w:t>
      </w:r>
      <w:r w:rsidR="001E0BC0" w:rsidRPr="006D0151">
        <w:rPr>
          <w:rFonts w:ascii="Arial" w:hAnsi="Arial" w:cs="Arial"/>
          <w:sz w:val="24"/>
          <w:szCs w:val="24"/>
          <w:u w:val="single"/>
        </w:rPr>
        <w:t xml:space="preserve">nrollment status at some point </w:t>
      </w:r>
      <w:r w:rsidRPr="006D0151">
        <w:rPr>
          <w:rFonts w:ascii="Arial" w:hAnsi="Arial" w:cs="Arial"/>
          <w:sz w:val="24"/>
          <w:szCs w:val="24"/>
          <w:u w:val="single"/>
        </w:rPr>
        <w:t xml:space="preserve">between </w:t>
      </w:r>
      <w:r w:rsidR="00924822">
        <w:rPr>
          <w:rFonts w:ascii="Arial" w:hAnsi="Arial" w:cs="Arial"/>
          <w:sz w:val="24"/>
          <w:szCs w:val="24"/>
          <w:u w:val="single"/>
        </w:rPr>
        <w:t xml:space="preserve">the </w:t>
      </w:r>
      <w:r w:rsidR="00642FC1" w:rsidRPr="006D0151">
        <w:rPr>
          <w:rFonts w:ascii="Arial" w:hAnsi="Arial" w:cs="Arial"/>
          <w:sz w:val="24"/>
          <w:szCs w:val="24"/>
          <w:u w:val="single"/>
        </w:rPr>
        <w:t>originat</w:t>
      </w:r>
      <w:r w:rsidR="00924822">
        <w:rPr>
          <w:rFonts w:ascii="Arial" w:hAnsi="Arial" w:cs="Arial"/>
          <w:sz w:val="24"/>
          <w:szCs w:val="24"/>
          <w:u w:val="single"/>
        </w:rPr>
        <w:t xml:space="preserve">ion </w:t>
      </w:r>
      <w:r w:rsidRPr="006D0151">
        <w:rPr>
          <w:rFonts w:ascii="Arial" w:hAnsi="Arial" w:cs="Arial"/>
          <w:sz w:val="24"/>
          <w:szCs w:val="24"/>
          <w:u w:val="single"/>
        </w:rPr>
        <w:t>and disburs</w:t>
      </w:r>
      <w:r w:rsidR="00E9666C">
        <w:rPr>
          <w:rFonts w:ascii="Arial" w:hAnsi="Arial" w:cs="Arial"/>
          <w:sz w:val="24"/>
          <w:szCs w:val="24"/>
          <w:u w:val="single"/>
        </w:rPr>
        <w:t>e</w:t>
      </w:r>
      <w:r w:rsidR="00924822">
        <w:rPr>
          <w:rFonts w:ascii="Arial" w:hAnsi="Arial" w:cs="Arial"/>
          <w:sz w:val="24"/>
          <w:szCs w:val="24"/>
          <w:u w:val="single"/>
        </w:rPr>
        <w:t>ment</w:t>
      </w:r>
      <w:r w:rsidRPr="006D0151">
        <w:rPr>
          <w:rFonts w:ascii="Arial" w:hAnsi="Arial" w:cs="Arial"/>
          <w:sz w:val="24"/>
          <w:szCs w:val="24"/>
          <w:u w:val="single"/>
        </w:rPr>
        <w:t xml:space="preserve"> </w:t>
      </w:r>
      <w:r w:rsidR="00924822">
        <w:rPr>
          <w:rFonts w:ascii="Arial" w:hAnsi="Arial" w:cs="Arial"/>
          <w:sz w:val="24"/>
          <w:szCs w:val="24"/>
          <w:u w:val="single"/>
        </w:rPr>
        <w:t xml:space="preserve">of </w:t>
      </w:r>
      <w:r w:rsidRPr="006D0151">
        <w:rPr>
          <w:rFonts w:ascii="Arial" w:hAnsi="Arial" w:cs="Arial"/>
          <w:sz w:val="24"/>
          <w:szCs w:val="24"/>
          <w:u w:val="single"/>
        </w:rPr>
        <w:t xml:space="preserve">Direct Loan funds, does an </w:t>
      </w:r>
      <w:r w:rsidR="001E0BC0" w:rsidRPr="006D0151">
        <w:rPr>
          <w:rFonts w:ascii="Arial" w:hAnsi="Arial" w:cs="Arial"/>
          <w:sz w:val="24"/>
          <w:szCs w:val="24"/>
          <w:u w:val="single"/>
        </w:rPr>
        <w:t>institution</w:t>
      </w:r>
      <w:r w:rsidRPr="006D0151">
        <w:rPr>
          <w:rFonts w:ascii="Arial" w:hAnsi="Arial" w:cs="Arial"/>
          <w:sz w:val="24"/>
          <w:szCs w:val="24"/>
          <w:u w:val="single"/>
        </w:rPr>
        <w:t xml:space="preserve"> need to recalculate loan eligibility based on the revised enrollment status?</w:t>
      </w:r>
    </w:p>
    <w:p w14:paraId="73414DC4" w14:textId="77777777" w:rsidR="0013775A" w:rsidRPr="006D0151" w:rsidRDefault="0013775A" w:rsidP="00CA7D6A">
      <w:pPr>
        <w:spacing w:after="0" w:line="240" w:lineRule="auto"/>
        <w:contextualSpacing/>
        <w:rPr>
          <w:rFonts w:ascii="Arial" w:hAnsi="Arial" w:cs="Arial"/>
          <w:sz w:val="24"/>
          <w:szCs w:val="24"/>
          <w:u w:val="single"/>
        </w:rPr>
      </w:pPr>
    </w:p>
    <w:p w14:paraId="18667325" w14:textId="0EB11707" w:rsidR="00F02A09" w:rsidRPr="006D0151" w:rsidRDefault="00CA7D6A" w:rsidP="0071480A">
      <w:pPr>
        <w:spacing w:after="0" w:line="240" w:lineRule="auto"/>
        <w:contextualSpacing/>
        <w:rPr>
          <w:rFonts w:ascii="Arial" w:hAnsi="Arial" w:cs="Arial"/>
          <w:sz w:val="24"/>
          <w:szCs w:val="24"/>
        </w:rPr>
      </w:pPr>
      <w:r w:rsidRPr="006D0151">
        <w:rPr>
          <w:rFonts w:ascii="Arial" w:hAnsi="Arial" w:cs="Arial"/>
          <w:sz w:val="24"/>
          <w:szCs w:val="24"/>
        </w:rPr>
        <w:t xml:space="preserve">CE A1: </w:t>
      </w:r>
      <w:r w:rsidR="00255F99" w:rsidRPr="006D0151">
        <w:rPr>
          <w:rFonts w:ascii="Arial" w:hAnsi="Arial" w:cs="Arial"/>
          <w:sz w:val="24"/>
          <w:szCs w:val="24"/>
        </w:rPr>
        <w:t xml:space="preserve">In this scenario, an </w:t>
      </w:r>
      <w:r w:rsidR="001E0BC0" w:rsidRPr="006D0151">
        <w:rPr>
          <w:rFonts w:ascii="Arial" w:hAnsi="Arial" w:cs="Arial"/>
          <w:sz w:val="24"/>
          <w:szCs w:val="24"/>
        </w:rPr>
        <w:t>institution</w:t>
      </w:r>
      <w:r w:rsidR="00255F99" w:rsidRPr="006D0151">
        <w:rPr>
          <w:rFonts w:ascii="Arial" w:hAnsi="Arial" w:cs="Arial"/>
          <w:sz w:val="24"/>
          <w:szCs w:val="24"/>
        </w:rPr>
        <w:t xml:space="preserve"> does not have to reca</w:t>
      </w:r>
      <w:r w:rsidR="00642FC1" w:rsidRPr="006D0151">
        <w:rPr>
          <w:rFonts w:ascii="Arial" w:hAnsi="Arial" w:cs="Arial"/>
          <w:sz w:val="24"/>
          <w:szCs w:val="24"/>
        </w:rPr>
        <w:t>lculate a student’s loan eligibility.</w:t>
      </w:r>
      <w:r w:rsidR="0078195E" w:rsidRPr="006D0151">
        <w:rPr>
          <w:rFonts w:ascii="Arial" w:hAnsi="Arial" w:cs="Arial"/>
          <w:sz w:val="24"/>
          <w:szCs w:val="24"/>
        </w:rPr>
        <w:t xml:space="preserve"> Please refer to Volume 4, Chapter 2 of the Federal Student Aid Handbook for guidance in checking eligibility at the time of disbursement.</w:t>
      </w:r>
      <w:r w:rsidR="00DB1AEF">
        <w:rPr>
          <w:rFonts w:ascii="Arial" w:hAnsi="Arial" w:cs="Arial"/>
          <w:sz w:val="24"/>
          <w:szCs w:val="24"/>
        </w:rPr>
        <w:t xml:space="preserve"> [Guidance issued 5/12</w:t>
      </w:r>
      <w:r w:rsidR="00F06A21" w:rsidRPr="00F06A21">
        <w:rPr>
          <w:rFonts w:ascii="Arial" w:hAnsi="Arial" w:cs="Arial"/>
          <w:sz w:val="24"/>
          <w:szCs w:val="24"/>
        </w:rPr>
        <w:t>/2016]</w:t>
      </w:r>
    </w:p>
    <w:sectPr w:rsidR="00F02A09" w:rsidRPr="006D0151" w:rsidSect="00425A7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0196C" w14:textId="77777777" w:rsidR="00A51C3F" w:rsidRDefault="00A51C3F" w:rsidP="006214C5">
      <w:pPr>
        <w:spacing w:after="0" w:line="240" w:lineRule="auto"/>
      </w:pPr>
      <w:r>
        <w:separator/>
      </w:r>
    </w:p>
  </w:endnote>
  <w:endnote w:type="continuationSeparator" w:id="0">
    <w:p w14:paraId="3E955984" w14:textId="77777777" w:rsidR="00A51C3F" w:rsidRDefault="00A51C3F" w:rsidP="006214C5">
      <w:pPr>
        <w:spacing w:after="0" w:line="240" w:lineRule="auto"/>
      </w:pPr>
      <w:r>
        <w:continuationSeparator/>
      </w:r>
    </w:p>
  </w:endnote>
  <w:endnote w:type="continuationNotice" w:id="1">
    <w:p w14:paraId="1870F79D" w14:textId="77777777" w:rsidR="00A51C3F" w:rsidRDefault="00A51C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7854"/>
      <w:docPartObj>
        <w:docPartGallery w:val="Page Numbers (Bottom of Page)"/>
        <w:docPartUnique/>
      </w:docPartObj>
    </w:sdtPr>
    <w:sdtEndPr>
      <w:rPr>
        <w:rFonts w:ascii="Times New Roman" w:hAnsi="Times New Roman" w:cs="Times New Roman"/>
        <w:noProof/>
        <w:sz w:val="24"/>
        <w:szCs w:val="24"/>
      </w:rPr>
    </w:sdtEndPr>
    <w:sdtContent>
      <w:p w14:paraId="79150145" w14:textId="77777777" w:rsidR="00E14823" w:rsidRPr="00DB2B2F" w:rsidRDefault="00E14823">
        <w:pPr>
          <w:pStyle w:val="Footer"/>
          <w:jc w:val="center"/>
          <w:rPr>
            <w:rFonts w:ascii="Times New Roman" w:hAnsi="Times New Roman" w:cs="Times New Roman"/>
            <w:sz w:val="24"/>
            <w:szCs w:val="24"/>
          </w:rPr>
        </w:pPr>
        <w:r w:rsidRPr="00DB2B2F">
          <w:rPr>
            <w:rFonts w:ascii="Times New Roman" w:hAnsi="Times New Roman" w:cs="Times New Roman"/>
            <w:sz w:val="24"/>
            <w:szCs w:val="24"/>
          </w:rPr>
          <w:fldChar w:fldCharType="begin"/>
        </w:r>
        <w:r w:rsidRPr="00DB2B2F">
          <w:rPr>
            <w:rFonts w:ascii="Times New Roman" w:hAnsi="Times New Roman" w:cs="Times New Roman"/>
            <w:sz w:val="24"/>
            <w:szCs w:val="24"/>
          </w:rPr>
          <w:instrText xml:space="preserve"> PAGE   \* MERGEFORMAT </w:instrText>
        </w:r>
        <w:r w:rsidRPr="00DB2B2F">
          <w:rPr>
            <w:rFonts w:ascii="Times New Roman" w:hAnsi="Times New Roman" w:cs="Times New Roman"/>
            <w:sz w:val="24"/>
            <w:szCs w:val="24"/>
          </w:rPr>
          <w:fldChar w:fldCharType="separate"/>
        </w:r>
        <w:r w:rsidR="00A81F42">
          <w:rPr>
            <w:rFonts w:ascii="Times New Roman" w:hAnsi="Times New Roman" w:cs="Times New Roman"/>
            <w:noProof/>
            <w:sz w:val="24"/>
            <w:szCs w:val="24"/>
          </w:rPr>
          <w:t>2</w:t>
        </w:r>
        <w:r w:rsidRPr="00DB2B2F">
          <w:rPr>
            <w:rFonts w:ascii="Times New Roman" w:hAnsi="Times New Roman" w:cs="Times New Roman"/>
            <w:noProof/>
            <w:sz w:val="24"/>
            <w:szCs w:val="24"/>
          </w:rPr>
          <w:fldChar w:fldCharType="end"/>
        </w:r>
      </w:p>
    </w:sdtContent>
  </w:sdt>
  <w:p w14:paraId="79150146" w14:textId="77777777" w:rsidR="00E14823" w:rsidRDefault="00E14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85126" w14:textId="77777777" w:rsidR="00A51C3F" w:rsidRDefault="00A51C3F" w:rsidP="006214C5">
      <w:pPr>
        <w:spacing w:after="0" w:line="240" w:lineRule="auto"/>
      </w:pPr>
      <w:r>
        <w:separator/>
      </w:r>
    </w:p>
  </w:footnote>
  <w:footnote w:type="continuationSeparator" w:id="0">
    <w:p w14:paraId="00929D69" w14:textId="77777777" w:rsidR="00A51C3F" w:rsidRDefault="00A51C3F" w:rsidP="006214C5">
      <w:pPr>
        <w:spacing w:after="0" w:line="240" w:lineRule="auto"/>
      </w:pPr>
      <w:r>
        <w:continuationSeparator/>
      </w:r>
    </w:p>
  </w:footnote>
  <w:footnote w:type="continuationNotice" w:id="1">
    <w:p w14:paraId="00020890" w14:textId="77777777" w:rsidR="00A51C3F" w:rsidRDefault="00A51C3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50143" w14:textId="67435702" w:rsidR="00E14823" w:rsidRPr="00DB2B2F" w:rsidRDefault="00E14823" w:rsidP="006214C5">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77FB8"/>
    <w:multiLevelType w:val="hybridMultilevel"/>
    <w:tmpl w:val="1F4615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C3575D8"/>
    <w:multiLevelType w:val="multilevel"/>
    <w:tmpl w:val="85BE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21C9D"/>
    <w:multiLevelType w:val="hybridMultilevel"/>
    <w:tmpl w:val="DD1AE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D96F1E"/>
    <w:multiLevelType w:val="hybridMultilevel"/>
    <w:tmpl w:val="34D6869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nsid w:val="5F046251"/>
    <w:multiLevelType w:val="hybridMultilevel"/>
    <w:tmpl w:val="861E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5B3EDA"/>
    <w:multiLevelType w:val="hybridMultilevel"/>
    <w:tmpl w:val="F7D2F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C5"/>
    <w:rsid w:val="00014499"/>
    <w:rsid w:val="0003368D"/>
    <w:rsid w:val="00036EE0"/>
    <w:rsid w:val="00044D8F"/>
    <w:rsid w:val="0006698D"/>
    <w:rsid w:val="000715B6"/>
    <w:rsid w:val="00097987"/>
    <w:rsid w:val="000A3F77"/>
    <w:rsid w:val="000A6324"/>
    <w:rsid w:val="000B1768"/>
    <w:rsid w:val="000C5EDC"/>
    <w:rsid w:val="000D701F"/>
    <w:rsid w:val="000D7048"/>
    <w:rsid w:val="000F34A7"/>
    <w:rsid w:val="000F37C9"/>
    <w:rsid w:val="00103A89"/>
    <w:rsid w:val="0012424C"/>
    <w:rsid w:val="00130861"/>
    <w:rsid w:val="00134D9D"/>
    <w:rsid w:val="0013775A"/>
    <w:rsid w:val="00141CE0"/>
    <w:rsid w:val="0014464C"/>
    <w:rsid w:val="00151DDB"/>
    <w:rsid w:val="00153245"/>
    <w:rsid w:val="00162BBD"/>
    <w:rsid w:val="001756FB"/>
    <w:rsid w:val="001814B5"/>
    <w:rsid w:val="001823A1"/>
    <w:rsid w:val="001833B0"/>
    <w:rsid w:val="0019177D"/>
    <w:rsid w:val="0019300F"/>
    <w:rsid w:val="0019770A"/>
    <w:rsid w:val="001A050B"/>
    <w:rsid w:val="001A1C61"/>
    <w:rsid w:val="001A3F94"/>
    <w:rsid w:val="001B5112"/>
    <w:rsid w:val="001C2E6B"/>
    <w:rsid w:val="001D15C8"/>
    <w:rsid w:val="001D31F2"/>
    <w:rsid w:val="001E0BC0"/>
    <w:rsid w:val="001E7100"/>
    <w:rsid w:val="00201557"/>
    <w:rsid w:val="00201D4D"/>
    <w:rsid w:val="00202737"/>
    <w:rsid w:val="002077EA"/>
    <w:rsid w:val="002126D0"/>
    <w:rsid w:val="0021567D"/>
    <w:rsid w:val="002328D3"/>
    <w:rsid w:val="002367DC"/>
    <w:rsid w:val="002449AA"/>
    <w:rsid w:val="00245A73"/>
    <w:rsid w:val="0024784E"/>
    <w:rsid w:val="00250EBE"/>
    <w:rsid w:val="002542B4"/>
    <w:rsid w:val="00255F99"/>
    <w:rsid w:val="00256D7A"/>
    <w:rsid w:val="0026516C"/>
    <w:rsid w:val="00274BEC"/>
    <w:rsid w:val="00276F6D"/>
    <w:rsid w:val="002779F0"/>
    <w:rsid w:val="002A217B"/>
    <w:rsid w:val="002A790B"/>
    <w:rsid w:val="002B314D"/>
    <w:rsid w:val="002B4C12"/>
    <w:rsid w:val="002B55AE"/>
    <w:rsid w:val="002C4B75"/>
    <w:rsid w:val="002D5BA8"/>
    <w:rsid w:val="002F0F0E"/>
    <w:rsid w:val="00305B5E"/>
    <w:rsid w:val="00313166"/>
    <w:rsid w:val="00314DD8"/>
    <w:rsid w:val="00326E06"/>
    <w:rsid w:val="003278CE"/>
    <w:rsid w:val="0033138F"/>
    <w:rsid w:val="00346C28"/>
    <w:rsid w:val="003566E8"/>
    <w:rsid w:val="00363D66"/>
    <w:rsid w:val="00364308"/>
    <w:rsid w:val="0037131F"/>
    <w:rsid w:val="00371540"/>
    <w:rsid w:val="00372EB7"/>
    <w:rsid w:val="003843A9"/>
    <w:rsid w:val="0039159F"/>
    <w:rsid w:val="00392509"/>
    <w:rsid w:val="003943C0"/>
    <w:rsid w:val="00394CA9"/>
    <w:rsid w:val="003A525F"/>
    <w:rsid w:val="003D1D40"/>
    <w:rsid w:val="003D6556"/>
    <w:rsid w:val="00407248"/>
    <w:rsid w:val="00414159"/>
    <w:rsid w:val="00416263"/>
    <w:rsid w:val="00425A79"/>
    <w:rsid w:val="00425AC9"/>
    <w:rsid w:val="00427A46"/>
    <w:rsid w:val="004301BE"/>
    <w:rsid w:val="00431E3C"/>
    <w:rsid w:val="004344D6"/>
    <w:rsid w:val="00435A69"/>
    <w:rsid w:val="00436914"/>
    <w:rsid w:val="0046646C"/>
    <w:rsid w:val="00494745"/>
    <w:rsid w:val="00495F89"/>
    <w:rsid w:val="004A1195"/>
    <w:rsid w:val="004B3056"/>
    <w:rsid w:val="004E1FA1"/>
    <w:rsid w:val="004E359A"/>
    <w:rsid w:val="004F1F06"/>
    <w:rsid w:val="00500E38"/>
    <w:rsid w:val="005012BF"/>
    <w:rsid w:val="00501A28"/>
    <w:rsid w:val="005169FE"/>
    <w:rsid w:val="00543D60"/>
    <w:rsid w:val="0054649A"/>
    <w:rsid w:val="00561673"/>
    <w:rsid w:val="0056278C"/>
    <w:rsid w:val="00574EE7"/>
    <w:rsid w:val="00590515"/>
    <w:rsid w:val="00591A1F"/>
    <w:rsid w:val="00594B4E"/>
    <w:rsid w:val="0059600A"/>
    <w:rsid w:val="005A1891"/>
    <w:rsid w:val="005B2705"/>
    <w:rsid w:val="005B6967"/>
    <w:rsid w:val="005C3FFF"/>
    <w:rsid w:val="005C74BD"/>
    <w:rsid w:val="005C7551"/>
    <w:rsid w:val="005D31B2"/>
    <w:rsid w:val="005D6B3A"/>
    <w:rsid w:val="005E1CDC"/>
    <w:rsid w:val="005F2733"/>
    <w:rsid w:val="00607E3D"/>
    <w:rsid w:val="006214C5"/>
    <w:rsid w:val="00624944"/>
    <w:rsid w:val="00624EFA"/>
    <w:rsid w:val="0063206B"/>
    <w:rsid w:val="00635EAF"/>
    <w:rsid w:val="006363F7"/>
    <w:rsid w:val="00642FC1"/>
    <w:rsid w:val="00651033"/>
    <w:rsid w:val="00653B39"/>
    <w:rsid w:val="006540B4"/>
    <w:rsid w:val="00661768"/>
    <w:rsid w:val="00675327"/>
    <w:rsid w:val="00675C56"/>
    <w:rsid w:val="00691679"/>
    <w:rsid w:val="00695B7D"/>
    <w:rsid w:val="006A14BC"/>
    <w:rsid w:val="006B6CA7"/>
    <w:rsid w:val="006B7B24"/>
    <w:rsid w:val="006C0104"/>
    <w:rsid w:val="006C5F2E"/>
    <w:rsid w:val="006C6F5C"/>
    <w:rsid w:val="006C768A"/>
    <w:rsid w:val="006D0151"/>
    <w:rsid w:val="006E2787"/>
    <w:rsid w:val="006E69C9"/>
    <w:rsid w:val="00707C0F"/>
    <w:rsid w:val="0071444A"/>
    <w:rsid w:val="0071480A"/>
    <w:rsid w:val="00717454"/>
    <w:rsid w:val="00723627"/>
    <w:rsid w:val="00730781"/>
    <w:rsid w:val="00731B87"/>
    <w:rsid w:val="007352F2"/>
    <w:rsid w:val="00735CCA"/>
    <w:rsid w:val="007447D7"/>
    <w:rsid w:val="00774284"/>
    <w:rsid w:val="00780A62"/>
    <w:rsid w:val="0078195E"/>
    <w:rsid w:val="0079544D"/>
    <w:rsid w:val="007A4AE1"/>
    <w:rsid w:val="007A7191"/>
    <w:rsid w:val="007C36DB"/>
    <w:rsid w:val="007D42F6"/>
    <w:rsid w:val="007E2F91"/>
    <w:rsid w:val="007E30D6"/>
    <w:rsid w:val="007E32F2"/>
    <w:rsid w:val="007E7CD4"/>
    <w:rsid w:val="008002D0"/>
    <w:rsid w:val="00803FF7"/>
    <w:rsid w:val="00804890"/>
    <w:rsid w:val="00806407"/>
    <w:rsid w:val="0081229A"/>
    <w:rsid w:val="00814D0D"/>
    <w:rsid w:val="008326EC"/>
    <w:rsid w:val="00840B87"/>
    <w:rsid w:val="00843547"/>
    <w:rsid w:val="00843990"/>
    <w:rsid w:val="00844586"/>
    <w:rsid w:val="00850FAA"/>
    <w:rsid w:val="00855752"/>
    <w:rsid w:val="0085700D"/>
    <w:rsid w:val="00857C64"/>
    <w:rsid w:val="00861777"/>
    <w:rsid w:val="00863677"/>
    <w:rsid w:val="0086478D"/>
    <w:rsid w:val="00882DE7"/>
    <w:rsid w:val="00886B9E"/>
    <w:rsid w:val="008A372F"/>
    <w:rsid w:val="008B017C"/>
    <w:rsid w:val="008B60A3"/>
    <w:rsid w:val="008B69DD"/>
    <w:rsid w:val="008B7451"/>
    <w:rsid w:val="008D0D4F"/>
    <w:rsid w:val="008D4075"/>
    <w:rsid w:val="008E1B0A"/>
    <w:rsid w:val="008E6BAA"/>
    <w:rsid w:val="008F78C9"/>
    <w:rsid w:val="009019CE"/>
    <w:rsid w:val="00903631"/>
    <w:rsid w:val="009079F1"/>
    <w:rsid w:val="009138DC"/>
    <w:rsid w:val="00924822"/>
    <w:rsid w:val="00932E81"/>
    <w:rsid w:val="00933B3E"/>
    <w:rsid w:val="00936CA8"/>
    <w:rsid w:val="00936D33"/>
    <w:rsid w:val="0097088C"/>
    <w:rsid w:val="00970F0B"/>
    <w:rsid w:val="00973619"/>
    <w:rsid w:val="00974363"/>
    <w:rsid w:val="009813B2"/>
    <w:rsid w:val="009914C4"/>
    <w:rsid w:val="00994339"/>
    <w:rsid w:val="00996F88"/>
    <w:rsid w:val="009976E2"/>
    <w:rsid w:val="009A66A5"/>
    <w:rsid w:val="009A719D"/>
    <w:rsid w:val="009B2CA8"/>
    <w:rsid w:val="009B798F"/>
    <w:rsid w:val="009D06D3"/>
    <w:rsid w:val="009D5414"/>
    <w:rsid w:val="009D698F"/>
    <w:rsid w:val="009E16AC"/>
    <w:rsid w:val="009E21B9"/>
    <w:rsid w:val="009E2B71"/>
    <w:rsid w:val="009F3003"/>
    <w:rsid w:val="009F38B5"/>
    <w:rsid w:val="009F5145"/>
    <w:rsid w:val="009F57DF"/>
    <w:rsid w:val="009F5F3A"/>
    <w:rsid w:val="00A034CF"/>
    <w:rsid w:val="00A0719A"/>
    <w:rsid w:val="00A17FB4"/>
    <w:rsid w:val="00A23422"/>
    <w:rsid w:val="00A26C27"/>
    <w:rsid w:val="00A300F8"/>
    <w:rsid w:val="00A51C3F"/>
    <w:rsid w:val="00A54469"/>
    <w:rsid w:val="00A6203F"/>
    <w:rsid w:val="00A72F1F"/>
    <w:rsid w:val="00A73921"/>
    <w:rsid w:val="00A74DE2"/>
    <w:rsid w:val="00A7619D"/>
    <w:rsid w:val="00A80ABB"/>
    <w:rsid w:val="00A81F42"/>
    <w:rsid w:val="00A902F8"/>
    <w:rsid w:val="00AA20CA"/>
    <w:rsid w:val="00AA71A2"/>
    <w:rsid w:val="00AA7A5D"/>
    <w:rsid w:val="00AB1268"/>
    <w:rsid w:val="00AC650E"/>
    <w:rsid w:val="00AC69DA"/>
    <w:rsid w:val="00AE555E"/>
    <w:rsid w:val="00AF10D9"/>
    <w:rsid w:val="00AF2BE0"/>
    <w:rsid w:val="00B13275"/>
    <w:rsid w:val="00B26B50"/>
    <w:rsid w:val="00B30916"/>
    <w:rsid w:val="00B34705"/>
    <w:rsid w:val="00B465AA"/>
    <w:rsid w:val="00B46BF7"/>
    <w:rsid w:val="00B65972"/>
    <w:rsid w:val="00B75E33"/>
    <w:rsid w:val="00B76586"/>
    <w:rsid w:val="00B76864"/>
    <w:rsid w:val="00B94D39"/>
    <w:rsid w:val="00BA0C6B"/>
    <w:rsid w:val="00BA4FD2"/>
    <w:rsid w:val="00BB01B0"/>
    <w:rsid w:val="00BB42C9"/>
    <w:rsid w:val="00BF04A9"/>
    <w:rsid w:val="00C02BAB"/>
    <w:rsid w:val="00C2688F"/>
    <w:rsid w:val="00C31F99"/>
    <w:rsid w:val="00C32548"/>
    <w:rsid w:val="00C33D2C"/>
    <w:rsid w:val="00C35E19"/>
    <w:rsid w:val="00C362AF"/>
    <w:rsid w:val="00C402C5"/>
    <w:rsid w:val="00C40E74"/>
    <w:rsid w:val="00C443C5"/>
    <w:rsid w:val="00C50E57"/>
    <w:rsid w:val="00C53ABF"/>
    <w:rsid w:val="00C57EA9"/>
    <w:rsid w:val="00C65A2E"/>
    <w:rsid w:val="00C70312"/>
    <w:rsid w:val="00C740BD"/>
    <w:rsid w:val="00C75E9B"/>
    <w:rsid w:val="00C77997"/>
    <w:rsid w:val="00C94A29"/>
    <w:rsid w:val="00CA2468"/>
    <w:rsid w:val="00CA3F4E"/>
    <w:rsid w:val="00CA612E"/>
    <w:rsid w:val="00CA7D6A"/>
    <w:rsid w:val="00CB125C"/>
    <w:rsid w:val="00CB7478"/>
    <w:rsid w:val="00CC53E2"/>
    <w:rsid w:val="00CD083A"/>
    <w:rsid w:val="00CD26CC"/>
    <w:rsid w:val="00CE154D"/>
    <w:rsid w:val="00CE660C"/>
    <w:rsid w:val="00CF005E"/>
    <w:rsid w:val="00CF0BF0"/>
    <w:rsid w:val="00CF7CB2"/>
    <w:rsid w:val="00D067AD"/>
    <w:rsid w:val="00D16A9E"/>
    <w:rsid w:val="00D21D10"/>
    <w:rsid w:val="00D30B32"/>
    <w:rsid w:val="00D66054"/>
    <w:rsid w:val="00D67D87"/>
    <w:rsid w:val="00D74C9A"/>
    <w:rsid w:val="00D830C1"/>
    <w:rsid w:val="00D92D24"/>
    <w:rsid w:val="00D93DB1"/>
    <w:rsid w:val="00DB1AEF"/>
    <w:rsid w:val="00DB2B2F"/>
    <w:rsid w:val="00DB6B31"/>
    <w:rsid w:val="00DB76B0"/>
    <w:rsid w:val="00DC2F50"/>
    <w:rsid w:val="00DC3B07"/>
    <w:rsid w:val="00DD314C"/>
    <w:rsid w:val="00DD7825"/>
    <w:rsid w:val="00DE5D3F"/>
    <w:rsid w:val="00DF1C01"/>
    <w:rsid w:val="00E0539E"/>
    <w:rsid w:val="00E143C5"/>
    <w:rsid w:val="00E14823"/>
    <w:rsid w:val="00E20206"/>
    <w:rsid w:val="00E22721"/>
    <w:rsid w:val="00E3153D"/>
    <w:rsid w:val="00E3443C"/>
    <w:rsid w:val="00E40B27"/>
    <w:rsid w:val="00E42711"/>
    <w:rsid w:val="00E567AE"/>
    <w:rsid w:val="00E60024"/>
    <w:rsid w:val="00E617BC"/>
    <w:rsid w:val="00E62224"/>
    <w:rsid w:val="00E63C76"/>
    <w:rsid w:val="00E65D9B"/>
    <w:rsid w:val="00E66BCF"/>
    <w:rsid w:val="00E7523A"/>
    <w:rsid w:val="00E77F2A"/>
    <w:rsid w:val="00E904A3"/>
    <w:rsid w:val="00E935B3"/>
    <w:rsid w:val="00E9666C"/>
    <w:rsid w:val="00ED0732"/>
    <w:rsid w:val="00ED1085"/>
    <w:rsid w:val="00ED3999"/>
    <w:rsid w:val="00ED4B4C"/>
    <w:rsid w:val="00F02A09"/>
    <w:rsid w:val="00F0667A"/>
    <w:rsid w:val="00F06A21"/>
    <w:rsid w:val="00F100A4"/>
    <w:rsid w:val="00F23414"/>
    <w:rsid w:val="00F26A1A"/>
    <w:rsid w:val="00F42F9B"/>
    <w:rsid w:val="00F43D29"/>
    <w:rsid w:val="00F55652"/>
    <w:rsid w:val="00F745CC"/>
    <w:rsid w:val="00F83CEE"/>
    <w:rsid w:val="00F85397"/>
    <w:rsid w:val="00FB08CE"/>
    <w:rsid w:val="00FB7EF8"/>
    <w:rsid w:val="00FD61B6"/>
    <w:rsid w:val="00FE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50113"/>
  <w15:docId w15:val="{C8FEC22D-BB63-46A1-A1F6-FC5C47AF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C5"/>
    <w:pPr>
      <w:ind w:left="720"/>
      <w:contextualSpacing/>
    </w:pPr>
  </w:style>
  <w:style w:type="paragraph" w:styleId="Header">
    <w:name w:val="header"/>
    <w:basedOn w:val="Normal"/>
    <w:link w:val="HeaderChar"/>
    <w:uiPriority w:val="99"/>
    <w:unhideWhenUsed/>
    <w:rsid w:val="00621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4C5"/>
  </w:style>
  <w:style w:type="paragraph" w:styleId="Footer">
    <w:name w:val="footer"/>
    <w:basedOn w:val="Normal"/>
    <w:link w:val="FooterChar"/>
    <w:uiPriority w:val="99"/>
    <w:unhideWhenUsed/>
    <w:rsid w:val="00621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4C5"/>
  </w:style>
  <w:style w:type="character" w:styleId="CommentReference">
    <w:name w:val="annotation reference"/>
    <w:basedOn w:val="DefaultParagraphFont"/>
    <w:uiPriority w:val="99"/>
    <w:semiHidden/>
    <w:unhideWhenUsed/>
    <w:rsid w:val="00AF10D9"/>
    <w:rPr>
      <w:sz w:val="16"/>
      <w:szCs w:val="16"/>
    </w:rPr>
  </w:style>
  <w:style w:type="paragraph" w:styleId="CommentText">
    <w:name w:val="annotation text"/>
    <w:basedOn w:val="Normal"/>
    <w:link w:val="CommentTextChar"/>
    <w:uiPriority w:val="99"/>
    <w:semiHidden/>
    <w:unhideWhenUsed/>
    <w:rsid w:val="00AF10D9"/>
    <w:pPr>
      <w:spacing w:line="240" w:lineRule="auto"/>
    </w:pPr>
    <w:rPr>
      <w:sz w:val="20"/>
      <w:szCs w:val="20"/>
    </w:rPr>
  </w:style>
  <w:style w:type="character" w:customStyle="1" w:styleId="CommentTextChar">
    <w:name w:val="Comment Text Char"/>
    <w:basedOn w:val="DefaultParagraphFont"/>
    <w:link w:val="CommentText"/>
    <w:uiPriority w:val="99"/>
    <w:semiHidden/>
    <w:rsid w:val="00AF10D9"/>
    <w:rPr>
      <w:sz w:val="20"/>
      <w:szCs w:val="20"/>
    </w:rPr>
  </w:style>
  <w:style w:type="paragraph" w:styleId="CommentSubject">
    <w:name w:val="annotation subject"/>
    <w:basedOn w:val="CommentText"/>
    <w:next w:val="CommentText"/>
    <w:link w:val="CommentSubjectChar"/>
    <w:uiPriority w:val="99"/>
    <w:semiHidden/>
    <w:unhideWhenUsed/>
    <w:rsid w:val="00AF10D9"/>
    <w:rPr>
      <w:b/>
      <w:bCs/>
    </w:rPr>
  </w:style>
  <w:style w:type="character" w:customStyle="1" w:styleId="CommentSubjectChar">
    <w:name w:val="Comment Subject Char"/>
    <w:basedOn w:val="CommentTextChar"/>
    <w:link w:val="CommentSubject"/>
    <w:uiPriority w:val="99"/>
    <w:semiHidden/>
    <w:rsid w:val="00AF10D9"/>
    <w:rPr>
      <w:b/>
      <w:bCs/>
      <w:sz w:val="20"/>
      <w:szCs w:val="20"/>
    </w:rPr>
  </w:style>
  <w:style w:type="paragraph" w:styleId="BalloonText">
    <w:name w:val="Balloon Text"/>
    <w:basedOn w:val="Normal"/>
    <w:link w:val="BalloonTextChar"/>
    <w:uiPriority w:val="99"/>
    <w:semiHidden/>
    <w:unhideWhenUsed/>
    <w:rsid w:val="00AF1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0D9"/>
    <w:rPr>
      <w:rFonts w:ascii="Tahoma" w:hAnsi="Tahoma" w:cs="Tahoma"/>
      <w:sz w:val="16"/>
      <w:szCs w:val="16"/>
    </w:rPr>
  </w:style>
  <w:style w:type="paragraph" w:styleId="NormalWeb">
    <w:name w:val="Normal (Web)"/>
    <w:basedOn w:val="Normal"/>
    <w:uiPriority w:val="99"/>
    <w:unhideWhenUsed/>
    <w:rsid w:val="009E2B71"/>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886B9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886B9E"/>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404835">
      <w:bodyDiv w:val="1"/>
      <w:marLeft w:val="0"/>
      <w:marRight w:val="0"/>
      <w:marTop w:val="0"/>
      <w:marBottom w:val="0"/>
      <w:divBdr>
        <w:top w:val="none" w:sz="0" w:space="0" w:color="auto"/>
        <w:left w:val="none" w:sz="0" w:space="0" w:color="auto"/>
        <w:bottom w:val="none" w:sz="0" w:space="0" w:color="auto"/>
        <w:right w:val="none" w:sz="0" w:space="0" w:color="auto"/>
      </w:divBdr>
    </w:div>
    <w:div w:id="317923522">
      <w:bodyDiv w:val="1"/>
      <w:marLeft w:val="0"/>
      <w:marRight w:val="0"/>
      <w:marTop w:val="0"/>
      <w:marBottom w:val="0"/>
      <w:divBdr>
        <w:top w:val="none" w:sz="0" w:space="0" w:color="auto"/>
        <w:left w:val="none" w:sz="0" w:space="0" w:color="auto"/>
        <w:bottom w:val="none" w:sz="0" w:space="0" w:color="auto"/>
        <w:right w:val="none" w:sz="0" w:space="0" w:color="auto"/>
      </w:divBdr>
    </w:div>
    <w:div w:id="329597939">
      <w:bodyDiv w:val="1"/>
      <w:marLeft w:val="0"/>
      <w:marRight w:val="0"/>
      <w:marTop w:val="0"/>
      <w:marBottom w:val="0"/>
      <w:divBdr>
        <w:top w:val="none" w:sz="0" w:space="0" w:color="auto"/>
        <w:left w:val="none" w:sz="0" w:space="0" w:color="auto"/>
        <w:bottom w:val="none" w:sz="0" w:space="0" w:color="auto"/>
        <w:right w:val="none" w:sz="0" w:space="0" w:color="auto"/>
      </w:divBdr>
    </w:div>
    <w:div w:id="454101620">
      <w:bodyDiv w:val="1"/>
      <w:marLeft w:val="0"/>
      <w:marRight w:val="0"/>
      <w:marTop w:val="0"/>
      <w:marBottom w:val="0"/>
      <w:divBdr>
        <w:top w:val="none" w:sz="0" w:space="0" w:color="auto"/>
        <w:left w:val="none" w:sz="0" w:space="0" w:color="auto"/>
        <w:bottom w:val="none" w:sz="0" w:space="0" w:color="auto"/>
        <w:right w:val="none" w:sz="0" w:space="0" w:color="auto"/>
      </w:divBdr>
    </w:div>
    <w:div w:id="579868271">
      <w:bodyDiv w:val="1"/>
      <w:marLeft w:val="0"/>
      <w:marRight w:val="0"/>
      <w:marTop w:val="0"/>
      <w:marBottom w:val="0"/>
      <w:divBdr>
        <w:top w:val="none" w:sz="0" w:space="0" w:color="auto"/>
        <w:left w:val="none" w:sz="0" w:space="0" w:color="auto"/>
        <w:bottom w:val="none" w:sz="0" w:space="0" w:color="auto"/>
        <w:right w:val="none" w:sz="0" w:space="0" w:color="auto"/>
      </w:divBdr>
    </w:div>
    <w:div w:id="759528018">
      <w:bodyDiv w:val="1"/>
      <w:marLeft w:val="0"/>
      <w:marRight w:val="0"/>
      <w:marTop w:val="0"/>
      <w:marBottom w:val="0"/>
      <w:divBdr>
        <w:top w:val="none" w:sz="0" w:space="0" w:color="auto"/>
        <w:left w:val="none" w:sz="0" w:space="0" w:color="auto"/>
        <w:bottom w:val="none" w:sz="0" w:space="0" w:color="auto"/>
        <w:right w:val="none" w:sz="0" w:space="0" w:color="auto"/>
      </w:divBdr>
    </w:div>
    <w:div w:id="775293457">
      <w:bodyDiv w:val="1"/>
      <w:marLeft w:val="0"/>
      <w:marRight w:val="0"/>
      <w:marTop w:val="0"/>
      <w:marBottom w:val="0"/>
      <w:divBdr>
        <w:top w:val="none" w:sz="0" w:space="0" w:color="auto"/>
        <w:left w:val="none" w:sz="0" w:space="0" w:color="auto"/>
        <w:bottom w:val="none" w:sz="0" w:space="0" w:color="auto"/>
        <w:right w:val="none" w:sz="0" w:space="0" w:color="auto"/>
      </w:divBdr>
    </w:div>
    <w:div w:id="866529250">
      <w:bodyDiv w:val="1"/>
      <w:marLeft w:val="0"/>
      <w:marRight w:val="0"/>
      <w:marTop w:val="0"/>
      <w:marBottom w:val="0"/>
      <w:divBdr>
        <w:top w:val="none" w:sz="0" w:space="0" w:color="auto"/>
        <w:left w:val="none" w:sz="0" w:space="0" w:color="auto"/>
        <w:bottom w:val="none" w:sz="0" w:space="0" w:color="auto"/>
        <w:right w:val="none" w:sz="0" w:space="0" w:color="auto"/>
      </w:divBdr>
    </w:div>
    <w:div w:id="979924279">
      <w:bodyDiv w:val="1"/>
      <w:marLeft w:val="0"/>
      <w:marRight w:val="0"/>
      <w:marTop w:val="0"/>
      <w:marBottom w:val="0"/>
      <w:divBdr>
        <w:top w:val="none" w:sz="0" w:space="0" w:color="auto"/>
        <w:left w:val="none" w:sz="0" w:space="0" w:color="auto"/>
        <w:bottom w:val="none" w:sz="0" w:space="0" w:color="auto"/>
        <w:right w:val="none" w:sz="0" w:space="0" w:color="auto"/>
      </w:divBdr>
    </w:div>
    <w:div w:id="1082416148">
      <w:bodyDiv w:val="1"/>
      <w:marLeft w:val="0"/>
      <w:marRight w:val="0"/>
      <w:marTop w:val="0"/>
      <w:marBottom w:val="0"/>
      <w:divBdr>
        <w:top w:val="none" w:sz="0" w:space="0" w:color="auto"/>
        <w:left w:val="none" w:sz="0" w:space="0" w:color="auto"/>
        <w:bottom w:val="none" w:sz="0" w:space="0" w:color="auto"/>
        <w:right w:val="none" w:sz="0" w:space="0" w:color="auto"/>
      </w:divBdr>
    </w:div>
    <w:div w:id="1172985525">
      <w:bodyDiv w:val="1"/>
      <w:marLeft w:val="0"/>
      <w:marRight w:val="0"/>
      <w:marTop w:val="0"/>
      <w:marBottom w:val="0"/>
      <w:divBdr>
        <w:top w:val="none" w:sz="0" w:space="0" w:color="auto"/>
        <w:left w:val="none" w:sz="0" w:space="0" w:color="auto"/>
        <w:bottom w:val="none" w:sz="0" w:space="0" w:color="auto"/>
        <w:right w:val="none" w:sz="0" w:space="0" w:color="auto"/>
      </w:divBdr>
    </w:div>
    <w:div w:id="1304576316">
      <w:bodyDiv w:val="1"/>
      <w:marLeft w:val="0"/>
      <w:marRight w:val="0"/>
      <w:marTop w:val="0"/>
      <w:marBottom w:val="0"/>
      <w:divBdr>
        <w:top w:val="none" w:sz="0" w:space="0" w:color="auto"/>
        <w:left w:val="none" w:sz="0" w:space="0" w:color="auto"/>
        <w:bottom w:val="none" w:sz="0" w:space="0" w:color="auto"/>
        <w:right w:val="none" w:sz="0" w:space="0" w:color="auto"/>
      </w:divBdr>
    </w:div>
    <w:div w:id="1417828101">
      <w:bodyDiv w:val="1"/>
      <w:marLeft w:val="0"/>
      <w:marRight w:val="0"/>
      <w:marTop w:val="0"/>
      <w:marBottom w:val="0"/>
      <w:divBdr>
        <w:top w:val="none" w:sz="0" w:space="0" w:color="auto"/>
        <w:left w:val="none" w:sz="0" w:space="0" w:color="auto"/>
        <w:bottom w:val="none" w:sz="0" w:space="0" w:color="auto"/>
        <w:right w:val="none" w:sz="0" w:space="0" w:color="auto"/>
      </w:divBdr>
    </w:div>
    <w:div w:id="1585533331">
      <w:bodyDiv w:val="1"/>
      <w:marLeft w:val="0"/>
      <w:marRight w:val="0"/>
      <w:marTop w:val="0"/>
      <w:marBottom w:val="0"/>
      <w:divBdr>
        <w:top w:val="none" w:sz="0" w:space="0" w:color="auto"/>
        <w:left w:val="none" w:sz="0" w:space="0" w:color="auto"/>
        <w:bottom w:val="none" w:sz="0" w:space="0" w:color="auto"/>
        <w:right w:val="none" w:sz="0" w:space="0" w:color="auto"/>
      </w:divBdr>
    </w:div>
    <w:div w:id="1647934189">
      <w:bodyDiv w:val="1"/>
      <w:marLeft w:val="0"/>
      <w:marRight w:val="0"/>
      <w:marTop w:val="0"/>
      <w:marBottom w:val="0"/>
      <w:divBdr>
        <w:top w:val="none" w:sz="0" w:space="0" w:color="auto"/>
        <w:left w:val="none" w:sz="0" w:space="0" w:color="auto"/>
        <w:bottom w:val="none" w:sz="0" w:space="0" w:color="auto"/>
        <w:right w:val="none" w:sz="0" w:space="0" w:color="auto"/>
      </w:divBdr>
    </w:div>
    <w:div w:id="1806388178">
      <w:bodyDiv w:val="1"/>
      <w:marLeft w:val="0"/>
      <w:marRight w:val="0"/>
      <w:marTop w:val="0"/>
      <w:marBottom w:val="0"/>
      <w:divBdr>
        <w:top w:val="none" w:sz="0" w:space="0" w:color="auto"/>
        <w:left w:val="none" w:sz="0" w:space="0" w:color="auto"/>
        <w:bottom w:val="none" w:sz="0" w:space="0" w:color="auto"/>
        <w:right w:val="none" w:sz="0" w:space="0" w:color="auto"/>
      </w:divBdr>
    </w:div>
    <w:div w:id="1949777269">
      <w:bodyDiv w:val="1"/>
      <w:marLeft w:val="0"/>
      <w:marRight w:val="0"/>
      <w:marTop w:val="0"/>
      <w:marBottom w:val="0"/>
      <w:divBdr>
        <w:top w:val="none" w:sz="0" w:space="0" w:color="auto"/>
        <w:left w:val="none" w:sz="0" w:space="0" w:color="auto"/>
        <w:bottom w:val="none" w:sz="0" w:space="0" w:color="auto"/>
        <w:right w:val="none" w:sz="0" w:space="0" w:color="auto"/>
      </w:divBdr>
    </w:div>
    <w:div w:id="1955600420">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39C296F79ED44381FD04FC7231D84E" ma:contentTypeVersion="0" ma:contentTypeDescription="Create a new document." ma:contentTypeScope="" ma:versionID="4763c25b5a13d66e4cbbb18c2284d17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5BE21-89D2-4099-B39C-1B8C922D2C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1CF266-44C3-488A-9908-051870C01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CA1F15-0896-4E58-9535-6B37DB0BDE4F}">
  <ds:schemaRefs>
    <ds:schemaRef ds:uri="http://schemas.microsoft.com/sharepoint/v3/contenttype/forms"/>
  </ds:schemaRefs>
</ds:datastoreItem>
</file>

<file path=customXml/itemProps4.xml><?xml version="1.0" encoding="utf-8"?>
<ds:datastoreItem xmlns:ds="http://schemas.openxmlformats.org/officeDocument/2006/customXml" ds:itemID="{52252542-447B-40A1-9DCD-6EB27C73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2655</Words>
  <Characters>15136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Higgins</dc:creator>
  <cp:lastModifiedBy>Adam Perrotta</cp:lastModifiedBy>
  <cp:revision>2</cp:revision>
  <cp:lastPrinted>2016-02-09T14:27:00Z</cp:lastPrinted>
  <dcterms:created xsi:type="dcterms:W3CDTF">2016-05-20T14:54:00Z</dcterms:created>
  <dcterms:modified xsi:type="dcterms:W3CDTF">2016-05-20T14:54:00Z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0x010100F339C296F79ED44381FD04FC7231D84E</vt:lpwstr>
  </property>
</Properties>
</file>